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7A23" w14:textId="77777777" w:rsidR="008A02F1" w:rsidRPr="00E3399F" w:rsidRDefault="008A02F1" w:rsidP="008A02F1">
      <w:pPr>
        <w:pStyle w:val="NoSpacing"/>
        <w:rPr>
          <w:b/>
        </w:rPr>
      </w:pPr>
      <w:r w:rsidRPr="00E3399F">
        <w:rPr>
          <w:b/>
        </w:rPr>
        <w:t xml:space="preserve">Appendix to </w:t>
      </w:r>
      <w:r>
        <w:rPr>
          <w:b/>
        </w:rPr>
        <w:t xml:space="preserve">the </w:t>
      </w:r>
      <w:r w:rsidRPr="00E3399F">
        <w:rPr>
          <w:b/>
        </w:rPr>
        <w:t>fact</w:t>
      </w:r>
      <w:r>
        <w:rPr>
          <w:b/>
        </w:rPr>
        <w:t xml:space="preserve"> </w:t>
      </w:r>
      <w:r w:rsidRPr="00E3399F">
        <w:rPr>
          <w:b/>
        </w:rPr>
        <w:t>sheet Development of the scientific research profile of the Netherlands - Development</w:t>
      </w:r>
      <w:r>
        <w:rPr>
          <w:b/>
        </w:rPr>
        <w:t>s</w:t>
      </w:r>
      <w:r w:rsidRPr="00E3399F">
        <w:rPr>
          <w:b/>
        </w:rPr>
        <w:t xml:space="preserve"> of </w:t>
      </w:r>
      <w:r>
        <w:rPr>
          <w:b/>
        </w:rPr>
        <w:t xml:space="preserve">scientific </w:t>
      </w:r>
      <w:r w:rsidRPr="00E3399F">
        <w:rPr>
          <w:b/>
        </w:rPr>
        <w:t>disciplines</w:t>
      </w:r>
    </w:p>
    <w:p w14:paraId="06F8E2C2" w14:textId="77777777" w:rsidR="00F65D75" w:rsidRPr="008A02F1" w:rsidRDefault="00F65D75" w:rsidP="00DA1A63">
      <w:pPr>
        <w:pStyle w:val="NoSpacing"/>
      </w:pPr>
    </w:p>
    <w:p w14:paraId="0279F880" w14:textId="77777777" w:rsidR="008A02F1" w:rsidRPr="00E3399F" w:rsidRDefault="008A02F1" w:rsidP="008A02F1">
      <w:pPr>
        <w:pStyle w:val="NoSpacing"/>
      </w:pPr>
      <w:r w:rsidRPr="00E3399F">
        <w:t xml:space="preserve">Some </w:t>
      </w:r>
      <w:r>
        <w:t>fields</w:t>
      </w:r>
      <w:r w:rsidRPr="00E3399F">
        <w:t xml:space="preserve"> of science include many different </w:t>
      </w:r>
      <w:r>
        <w:t xml:space="preserve">scientific </w:t>
      </w:r>
      <w:r w:rsidRPr="00E3399F">
        <w:t xml:space="preserve">disciplines. In order to be able to say something at a more detailed level, data was also </w:t>
      </w:r>
      <w:r>
        <w:t>generated</w:t>
      </w:r>
      <w:r w:rsidRPr="00E3399F">
        <w:t xml:space="preserve"> f</w:t>
      </w:r>
      <w:r>
        <w:t>or</w:t>
      </w:r>
      <w:r w:rsidRPr="00E3399F">
        <w:t xml:space="preserve"> the </w:t>
      </w:r>
      <w:r>
        <w:t xml:space="preserve">scientific </w:t>
      </w:r>
      <w:r w:rsidRPr="00E3399F">
        <w:t xml:space="preserve">disciplines. These disciplines cannot be translated into the </w:t>
      </w:r>
      <w:r>
        <w:t>fields of science</w:t>
      </w:r>
      <w:r w:rsidRPr="00E3399F">
        <w:t>, but they do provide a more detailed picture of the Dutch research landscape.</w:t>
      </w:r>
    </w:p>
    <w:p w14:paraId="1C3EFB2D" w14:textId="77777777" w:rsidR="008A02F1" w:rsidRPr="00440ADD" w:rsidRDefault="008A02F1" w:rsidP="008A02F1">
      <w:pPr>
        <w:pStyle w:val="NoSpacing"/>
      </w:pPr>
    </w:p>
    <w:p w14:paraId="3736BB6D" w14:textId="740E63DA" w:rsidR="008A02F1" w:rsidRDefault="008A02F1" w:rsidP="008A02F1">
      <w:pPr>
        <w:pStyle w:val="NoSpacing"/>
      </w:pPr>
      <w:r w:rsidRPr="00842AB4">
        <w:t xml:space="preserve">The figure below shows the citation impact score for each </w:t>
      </w:r>
      <w:r>
        <w:t>scientific discipline for 202</w:t>
      </w:r>
      <w:r w:rsidR="00925116">
        <w:t>2</w:t>
      </w:r>
      <w:r w:rsidRPr="00842AB4">
        <w:t>. Furthermore, a bullet point indi</w:t>
      </w:r>
      <w:r>
        <w:t>cates what the score was in 200</w:t>
      </w:r>
      <w:r w:rsidR="00925116">
        <w:t>6</w:t>
      </w:r>
      <w:r w:rsidRPr="00842AB4">
        <w:t xml:space="preserve">. We see that the Netherlands is doing very well. For almost all disciplines, the value is (well) above 1.0 (the global average). Only Maths and Instruments and instruments score just below the world average. </w:t>
      </w:r>
    </w:p>
    <w:p w14:paraId="49C1196B" w14:textId="231A47AC" w:rsidR="008A02F1" w:rsidRDefault="008A02F1" w:rsidP="008A02F1">
      <w:pPr>
        <w:pStyle w:val="NoSpacing"/>
      </w:pPr>
    </w:p>
    <w:p w14:paraId="423C4FE6" w14:textId="3D87BBFF" w:rsidR="008A02F1" w:rsidRDefault="008A02F1" w:rsidP="008A02F1">
      <w:pPr>
        <w:pStyle w:val="NoSpacing"/>
      </w:pPr>
      <w:r w:rsidRPr="008A02F1">
        <w:t>What is striking is the high value in 200</w:t>
      </w:r>
      <w:r w:rsidR="00925116">
        <w:t>6</w:t>
      </w:r>
      <w:r w:rsidRPr="008A02F1">
        <w:t xml:space="preserve"> for the multidisciplinary journals. We see a comparable high value in 200</w:t>
      </w:r>
      <w:r w:rsidR="00925116">
        <w:t>6</w:t>
      </w:r>
      <w:r w:rsidRPr="008A02F1">
        <w:t xml:space="preserve"> in this category in other countries. We also see that a number of categories under “social sciences” have risen sharply, such as Psychology, Social and behavioral sciences and Sociology and anthropology.</w:t>
      </w:r>
    </w:p>
    <w:p w14:paraId="71C74C91" w14:textId="0830B9FB" w:rsidR="00AB7575" w:rsidRPr="0065501B" w:rsidRDefault="00AB7575" w:rsidP="00DA1A63">
      <w:pPr>
        <w:pStyle w:val="NoSpacing"/>
      </w:pPr>
    </w:p>
    <w:p w14:paraId="7EDABF21" w14:textId="3C103719" w:rsidR="00187043" w:rsidRPr="00187043" w:rsidRDefault="00925116" w:rsidP="00BF63A1">
      <w:pPr>
        <w:pStyle w:val="NoSpacing"/>
        <w:rPr>
          <w:lang w:val="nl-NL"/>
        </w:rPr>
      </w:pPr>
      <w:r>
        <w:rPr>
          <w:noProof/>
        </w:rPr>
        <w:drawing>
          <wp:inline distT="0" distB="0" distL="0" distR="0" wp14:anchorId="4EB6D461" wp14:editId="17B882E7">
            <wp:extent cx="5848709" cy="6124754"/>
            <wp:effectExtent l="0" t="0" r="0" b="9525"/>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5B82E3" w14:textId="61EAD3E1" w:rsidR="00187043" w:rsidRDefault="00187043" w:rsidP="00187043">
      <w:pPr>
        <w:pStyle w:val="NoSpacing"/>
        <w:rPr>
          <w:lang w:val="nl-NL"/>
        </w:rPr>
      </w:pPr>
    </w:p>
    <w:p w14:paraId="00E975CB" w14:textId="77777777" w:rsidR="008A02F1" w:rsidRDefault="008A02F1" w:rsidP="00DA1A63">
      <w:pPr>
        <w:pStyle w:val="NoSpacing"/>
        <w:rPr>
          <w:lang w:val="nl-NL"/>
        </w:rPr>
      </w:pPr>
    </w:p>
    <w:p w14:paraId="59D45E4E" w14:textId="2C6064E4" w:rsidR="008A02F1" w:rsidRDefault="008A02F1" w:rsidP="00DA1A63">
      <w:pPr>
        <w:pStyle w:val="NoSpacing"/>
      </w:pPr>
      <w:r w:rsidRPr="008A02F1">
        <w:t>The figure below shows the percentage increase in the number of publications per discipline, over the period 200</w:t>
      </w:r>
      <w:r w:rsidR="00925116">
        <w:t>6</w:t>
      </w:r>
      <w:r w:rsidRPr="008A02F1">
        <w:t>-202</w:t>
      </w:r>
      <w:r w:rsidR="00925116">
        <w:t>2</w:t>
      </w:r>
      <w:r w:rsidRPr="008A02F1">
        <w:t>. It can be seen that there is a great variety. While the multidisciplinary journals have increased by 1</w:t>
      </w:r>
      <w:r w:rsidR="00925116">
        <w:t>05</w:t>
      </w:r>
      <w:r w:rsidRPr="008A02F1">
        <w:t xml:space="preserve">3%, the </w:t>
      </w:r>
      <w:r w:rsidR="00925116">
        <w:t>physics and material science</w:t>
      </w:r>
      <w:r w:rsidRPr="008A02F1">
        <w:t xml:space="preserve"> have increased by </w:t>
      </w:r>
      <w:r w:rsidR="00925116">
        <w:t>34</w:t>
      </w:r>
      <w:r w:rsidRPr="008A02F1">
        <w:t>%. The figure also includes the percentage increases of the reference countries with and without China. Then we see that the increase in multidisciplinary journals is indeed striking. In addition, we see notable increases in Political science and public administration</w:t>
      </w:r>
      <w:r w:rsidR="00925116">
        <w:t xml:space="preserve"> and health sciences</w:t>
      </w:r>
      <w:r w:rsidRPr="008A02F1">
        <w:t>.</w:t>
      </w:r>
    </w:p>
    <w:p w14:paraId="62B8177E" w14:textId="77777777" w:rsidR="00925116" w:rsidRDefault="00925116" w:rsidP="00DA1A63">
      <w:pPr>
        <w:pStyle w:val="NoSpacing"/>
      </w:pPr>
    </w:p>
    <w:p w14:paraId="20067618" w14:textId="4554D9BE" w:rsidR="006C71E0" w:rsidRPr="00925116" w:rsidRDefault="00925116" w:rsidP="00DA1A63">
      <w:pPr>
        <w:pStyle w:val="NoSpacing"/>
      </w:pPr>
      <w:r>
        <w:rPr>
          <w:noProof/>
        </w:rPr>
        <w:drawing>
          <wp:inline distT="0" distB="0" distL="0" distR="0" wp14:anchorId="633215E1" wp14:editId="30848A43">
            <wp:extent cx="5891842" cy="6090249"/>
            <wp:effectExtent l="0" t="0" r="13970" b="635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6C71E0" w:rsidRPr="00925116" w:rsidSect="00051406">
      <w:footerReference w:type="default" r:id="rId10"/>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9C70" w14:textId="77777777" w:rsidR="009F7694" w:rsidRDefault="009F7694" w:rsidP="00294C6F">
      <w:pPr>
        <w:spacing w:after="0" w:line="240" w:lineRule="auto"/>
      </w:pPr>
      <w:r>
        <w:separator/>
      </w:r>
    </w:p>
  </w:endnote>
  <w:endnote w:type="continuationSeparator" w:id="0">
    <w:p w14:paraId="6A7A5449" w14:textId="77777777" w:rsidR="009F7694" w:rsidRDefault="009F7694" w:rsidP="0029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68993"/>
      <w:docPartObj>
        <w:docPartGallery w:val="Page Numbers (Bottom of Page)"/>
        <w:docPartUnique/>
      </w:docPartObj>
    </w:sdtPr>
    <w:sdtEndPr/>
    <w:sdtContent>
      <w:p w14:paraId="2CB6A2FD" w14:textId="281ADFD2" w:rsidR="009F7694" w:rsidRDefault="009F7694">
        <w:pPr>
          <w:pStyle w:val="Footer"/>
          <w:jc w:val="right"/>
        </w:pPr>
        <w:r>
          <w:fldChar w:fldCharType="begin"/>
        </w:r>
        <w:r>
          <w:instrText>PAGE   \* MERGEFORMAT</w:instrText>
        </w:r>
        <w:r>
          <w:fldChar w:fldCharType="separate"/>
        </w:r>
        <w:r w:rsidR="008A02F1" w:rsidRPr="008A02F1">
          <w:rPr>
            <w:noProof/>
            <w:lang w:val="nl-NL"/>
          </w:rPr>
          <w:t>1</w:t>
        </w:r>
        <w:r>
          <w:fldChar w:fldCharType="end"/>
        </w:r>
      </w:p>
    </w:sdtContent>
  </w:sdt>
  <w:p w14:paraId="32F93CA5" w14:textId="77777777" w:rsidR="009F7694" w:rsidRDefault="009F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3471" w14:textId="77777777" w:rsidR="009F7694" w:rsidRDefault="009F7694" w:rsidP="00294C6F">
      <w:pPr>
        <w:spacing w:after="0" w:line="240" w:lineRule="auto"/>
      </w:pPr>
      <w:r>
        <w:separator/>
      </w:r>
    </w:p>
  </w:footnote>
  <w:footnote w:type="continuationSeparator" w:id="0">
    <w:p w14:paraId="41992275" w14:textId="77777777" w:rsidR="009F7694" w:rsidRDefault="009F7694" w:rsidP="00294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22137"/>
    <w:multiLevelType w:val="hybridMultilevel"/>
    <w:tmpl w:val="EFD21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2D24A9"/>
    <w:multiLevelType w:val="hybridMultilevel"/>
    <w:tmpl w:val="A56CC9F2"/>
    <w:lvl w:ilvl="0" w:tplc="8A623D7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3548363">
    <w:abstractNumId w:val="0"/>
  </w:num>
  <w:num w:numId="2" w16cid:durableId="35646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nl-NL" w:vendorID="64" w:dllVersion="6" w:nlCheck="1" w:checkStyle="0"/>
  <w:activeWritingStyle w:appName="MSWord" w:lang="en-US" w:vendorID="64" w:dllVersion="0" w:nlCheck="1" w:checkStyle="0"/>
  <w:activeWritingStyle w:appName="MSWord" w:lang="nl-NL" w:vendorID="64" w:dllVersion="0" w:nlCheck="1" w:checkStyle="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63"/>
    <w:rsid w:val="00004043"/>
    <w:rsid w:val="0000789C"/>
    <w:rsid w:val="000146AD"/>
    <w:rsid w:val="000358F0"/>
    <w:rsid w:val="000450D0"/>
    <w:rsid w:val="0005090C"/>
    <w:rsid w:val="00051406"/>
    <w:rsid w:val="000573A2"/>
    <w:rsid w:val="00057D3B"/>
    <w:rsid w:val="00064693"/>
    <w:rsid w:val="0006729E"/>
    <w:rsid w:val="0007059F"/>
    <w:rsid w:val="000956C3"/>
    <w:rsid w:val="000A55E0"/>
    <w:rsid w:val="000A7A77"/>
    <w:rsid w:val="000B2690"/>
    <w:rsid w:val="000B36A9"/>
    <w:rsid w:val="000C452B"/>
    <w:rsid w:val="000C5DBC"/>
    <w:rsid w:val="000C66BC"/>
    <w:rsid w:val="000C6B22"/>
    <w:rsid w:val="000C73C3"/>
    <w:rsid w:val="000D57B3"/>
    <w:rsid w:val="000E74EB"/>
    <w:rsid w:val="000F6E76"/>
    <w:rsid w:val="00107AB1"/>
    <w:rsid w:val="001219D6"/>
    <w:rsid w:val="00127B24"/>
    <w:rsid w:val="001304E1"/>
    <w:rsid w:val="001332E4"/>
    <w:rsid w:val="00135D8D"/>
    <w:rsid w:val="001370DE"/>
    <w:rsid w:val="0014071C"/>
    <w:rsid w:val="00142220"/>
    <w:rsid w:val="001478F1"/>
    <w:rsid w:val="00152E19"/>
    <w:rsid w:val="001534FE"/>
    <w:rsid w:val="00156AE6"/>
    <w:rsid w:val="001600A2"/>
    <w:rsid w:val="001639EE"/>
    <w:rsid w:val="0016566E"/>
    <w:rsid w:val="001659E6"/>
    <w:rsid w:val="00167D21"/>
    <w:rsid w:val="00187043"/>
    <w:rsid w:val="00187B79"/>
    <w:rsid w:val="00196273"/>
    <w:rsid w:val="0019703A"/>
    <w:rsid w:val="001A0455"/>
    <w:rsid w:val="001A39A0"/>
    <w:rsid w:val="001A6D05"/>
    <w:rsid w:val="001B33ED"/>
    <w:rsid w:val="001B6AC5"/>
    <w:rsid w:val="001C50BA"/>
    <w:rsid w:val="001D2C64"/>
    <w:rsid w:val="001D3D7E"/>
    <w:rsid w:val="001D3DE8"/>
    <w:rsid w:val="001E1DB3"/>
    <w:rsid w:val="001F1092"/>
    <w:rsid w:val="001F1F4B"/>
    <w:rsid w:val="001F2E1F"/>
    <w:rsid w:val="001F39B0"/>
    <w:rsid w:val="001F476F"/>
    <w:rsid w:val="0020323C"/>
    <w:rsid w:val="00211C3B"/>
    <w:rsid w:val="00220EB5"/>
    <w:rsid w:val="00223DB4"/>
    <w:rsid w:val="00230372"/>
    <w:rsid w:val="002362F6"/>
    <w:rsid w:val="002403EB"/>
    <w:rsid w:val="00241513"/>
    <w:rsid w:val="00241F82"/>
    <w:rsid w:val="00243799"/>
    <w:rsid w:val="00243F52"/>
    <w:rsid w:val="00245E18"/>
    <w:rsid w:val="00246E06"/>
    <w:rsid w:val="002530E5"/>
    <w:rsid w:val="00253D4A"/>
    <w:rsid w:val="00261310"/>
    <w:rsid w:val="00264F44"/>
    <w:rsid w:val="0026635E"/>
    <w:rsid w:val="00272891"/>
    <w:rsid w:val="00273CE6"/>
    <w:rsid w:val="002741DE"/>
    <w:rsid w:val="002802BE"/>
    <w:rsid w:val="00281546"/>
    <w:rsid w:val="00282AA1"/>
    <w:rsid w:val="00282DEF"/>
    <w:rsid w:val="002851C2"/>
    <w:rsid w:val="00285627"/>
    <w:rsid w:val="00285DA6"/>
    <w:rsid w:val="002865D6"/>
    <w:rsid w:val="00287E2A"/>
    <w:rsid w:val="002905C8"/>
    <w:rsid w:val="00291772"/>
    <w:rsid w:val="00294C6F"/>
    <w:rsid w:val="0029763F"/>
    <w:rsid w:val="002A64DE"/>
    <w:rsid w:val="002B0012"/>
    <w:rsid w:val="002B084D"/>
    <w:rsid w:val="002B094A"/>
    <w:rsid w:val="002B12FB"/>
    <w:rsid w:val="002B47D6"/>
    <w:rsid w:val="002B5FC3"/>
    <w:rsid w:val="002C7E58"/>
    <w:rsid w:val="002D5978"/>
    <w:rsid w:val="002D7401"/>
    <w:rsid w:val="002E20F5"/>
    <w:rsid w:val="002E3A51"/>
    <w:rsid w:val="002F5320"/>
    <w:rsid w:val="0030289D"/>
    <w:rsid w:val="0031380B"/>
    <w:rsid w:val="003209CB"/>
    <w:rsid w:val="003225BC"/>
    <w:rsid w:val="003241A9"/>
    <w:rsid w:val="00340302"/>
    <w:rsid w:val="003436A2"/>
    <w:rsid w:val="003439A7"/>
    <w:rsid w:val="00347405"/>
    <w:rsid w:val="00350FE5"/>
    <w:rsid w:val="00352013"/>
    <w:rsid w:val="00354926"/>
    <w:rsid w:val="00355977"/>
    <w:rsid w:val="003562E6"/>
    <w:rsid w:val="0035722F"/>
    <w:rsid w:val="00360D4B"/>
    <w:rsid w:val="003672A5"/>
    <w:rsid w:val="003725B0"/>
    <w:rsid w:val="003729B7"/>
    <w:rsid w:val="0037469B"/>
    <w:rsid w:val="0037563F"/>
    <w:rsid w:val="0038307E"/>
    <w:rsid w:val="00383E62"/>
    <w:rsid w:val="00384094"/>
    <w:rsid w:val="00385001"/>
    <w:rsid w:val="00385231"/>
    <w:rsid w:val="00386A09"/>
    <w:rsid w:val="00394ECD"/>
    <w:rsid w:val="00396382"/>
    <w:rsid w:val="00397F00"/>
    <w:rsid w:val="003A2D0D"/>
    <w:rsid w:val="003A3DFA"/>
    <w:rsid w:val="003A40EF"/>
    <w:rsid w:val="003A52CC"/>
    <w:rsid w:val="003A6176"/>
    <w:rsid w:val="003C2229"/>
    <w:rsid w:val="003C67AD"/>
    <w:rsid w:val="003D0794"/>
    <w:rsid w:val="003D6453"/>
    <w:rsid w:val="003E7E13"/>
    <w:rsid w:val="003F0D92"/>
    <w:rsid w:val="003F63ED"/>
    <w:rsid w:val="00405471"/>
    <w:rsid w:val="00405B48"/>
    <w:rsid w:val="00416F3F"/>
    <w:rsid w:val="004173A7"/>
    <w:rsid w:val="00422348"/>
    <w:rsid w:val="00433E2E"/>
    <w:rsid w:val="0044077F"/>
    <w:rsid w:val="00440B81"/>
    <w:rsid w:val="00454C9A"/>
    <w:rsid w:val="0046352E"/>
    <w:rsid w:val="0046464E"/>
    <w:rsid w:val="00465253"/>
    <w:rsid w:val="00465CD6"/>
    <w:rsid w:val="00466AB7"/>
    <w:rsid w:val="004751F8"/>
    <w:rsid w:val="0048107D"/>
    <w:rsid w:val="004820ED"/>
    <w:rsid w:val="0049117F"/>
    <w:rsid w:val="00495E3D"/>
    <w:rsid w:val="00497243"/>
    <w:rsid w:val="004A04AF"/>
    <w:rsid w:val="004B3E5F"/>
    <w:rsid w:val="004B75C3"/>
    <w:rsid w:val="004E4DBA"/>
    <w:rsid w:val="004F1CA9"/>
    <w:rsid w:val="004F4820"/>
    <w:rsid w:val="005060AB"/>
    <w:rsid w:val="00522277"/>
    <w:rsid w:val="00525709"/>
    <w:rsid w:val="005331CD"/>
    <w:rsid w:val="00534638"/>
    <w:rsid w:val="00537BCF"/>
    <w:rsid w:val="005529CB"/>
    <w:rsid w:val="0055450F"/>
    <w:rsid w:val="005557F0"/>
    <w:rsid w:val="005718C3"/>
    <w:rsid w:val="00575D34"/>
    <w:rsid w:val="00582C7A"/>
    <w:rsid w:val="00586D48"/>
    <w:rsid w:val="00590831"/>
    <w:rsid w:val="005949F7"/>
    <w:rsid w:val="005967E8"/>
    <w:rsid w:val="00596EE7"/>
    <w:rsid w:val="00597CDE"/>
    <w:rsid w:val="005A04B9"/>
    <w:rsid w:val="005A63E1"/>
    <w:rsid w:val="005A655F"/>
    <w:rsid w:val="005C26E4"/>
    <w:rsid w:val="005C299F"/>
    <w:rsid w:val="005C30B8"/>
    <w:rsid w:val="005D1280"/>
    <w:rsid w:val="005D5F7E"/>
    <w:rsid w:val="005E0317"/>
    <w:rsid w:val="005E599B"/>
    <w:rsid w:val="005E630F"/>
    <w:rsid w:val="005F119C"/>
    <w:rsid w:val="005F1B10"/>
    <w:rsid w:val="005F2A3F"/>
    <w:rsid w:val="005F54FC"/>
    <w:rsid w:val="005F56DD"/>
    <w:rsid w:val="006028EC"/>
    <w:rsid w:val="00602B61"/>
    <w:rsid w:val="00605000"/>
    <w:rsid w:val="00611B2A"/>
    <w:rsid w:val="00613269"/>
    <w:rsid w:val="006135C6"/>
    <w:rsid w:val="0061705D"/>
    <w:rsid w:val="006217A1"/>
    <w:rsid w:val="0062489E"/>
    <w:rsid w:val="00631C23"/>
    <w:rsid w:val="00634D66"/>
    <w:rsid w:val="006407D0"/>
    <w:rsid w:val="00646B83"/>
    <w:rsid w:val="0065501B"/>
    <w:rsid w:val="00663AD9"/>
    <w:rsid w:val="006715C2"/>
    <w:rsid w:val="006728FD"/>
    <w:rsid w:val="00674A04"/>
    <w:rsid w:val="00680DD9"/>
    <w:rsid w:val="00682351"/>
    <w:rsid w:val="006827D7"/>
    <w:rsid w:val="00687427"/>
    <w:rsid w:val="00687491"/>
    <w:rsid w:val="006878B1"/>
    <w:rsid w:val="00687AC1"/>
    <w:rsid w:val="00693C40"/>
    <w:rsid w:val="00694178"/>
    <w:rsid w:val="00697112"/>
    <w:rsid w:val="0069792D"/>
    <w:rsid w:val="006B0286"/>
    <w:rsid w:val="006B0691"/>
    <w:rsid w:val="006C0457"/>
    <w:rsid w:val="006C1462"/>
    <w:rsid w:val="006C36B9"/>
    <w:rsid w:val="006C641C"/>
    <w:rsid w:val="006C71E0"/>
    <w:rsid w:val="006D006D"/>
    <w:rsid w:val="006D0D9C"/>
    <w:rsid w:val="006D47D4"/>
    <w:rsid w:val="006E2B61"/>
    <w:rsid w:val="006E51F0"/>
    <w:rsid w:val="0070102B"/>
    <w:rsid w:val="00704055"/>
    <w:rsid w:val="00717A0E"/>
    <w:rsid w:val="00717FF9"/>
    <w:rsid w:val="007211A5"/>
    <w:rsid w:val="007214EE"/>
    <w:rsid w:val="00734EB3"/>
    <w:rsid w:val="007410FD"/>
    <w:rsid w:val="00743113"/>
    <w:rsid w:val="0074378A"/>
    <w:rsid w:val="007539E1"/>
    <w:rsid w:val="00756FB7"/>
    <w:rsid w:val="0075772F"/>
    <w:rsid w:val="0076049A"/>
    <w:rsid w:val="0076383F"/>
    <w:rsid w:val="00764EF1"/>
    <w:rsid w:val="00765296"/>
    <w:rsid w:val="007743D8"/>
    <w:rsid w:val="007802D5"/>
    <w:rsid w:val="00780612"/>
    <w:rsid w:val="007812E5"/>
    <w:rsid w:val="0078138E"/>
    <w:rsid w:val="00795DF4"/>
    <w:rsid w:val="007A4F07"/>
    <w:rsid w:val="007B594C"/>
    <w:rsid w:val="007C6D23"/>
    <w:rsid w:val="007E1A66"/>
    <w:rsid w:val="007E317E"/>
    <w:rsid w:val="008020D3"/>
    <w:rsid w:val="00805C8C"/>
    <w:rsid w:val="00810E44"/>
    <w:rsid w:val="008178D3"/>
    <w:rsid w:val="008276AC"/>
    <w:rsid w:val="00837E0F"/>
    <w:rsid w:val="008432F1"/>
    <w:rsid w:val="00846A54"/>
    <w:rsid w:val="00851EA6"/>
    <w:rsid w:val="00860373"/>
    <w:rsid w:val="00860ACB"/>
    <w:rsid w:val="00860F33"/>
    <w:rsid w:val="008634D4"/>
    <w:rsid w:val="008676DA"/>
    <w:rsid w:val="008677C0"/>
    <w:rsid w:val="00872E8F"/>
    <w:rsid w:val="00873A6F"/>
    <w:rsid w:val="008853EE"/>
    <w:rsid w:val="008934CE"/>
    <w:rsid w:val="008A02B7"/>
    <w:rsid w:val="008A02F1"/>
    <w:rsid w:val="008A1432"/>
    <w:rsid w:val="008A1F7A"/>
    <w:rsid w:val="008A754D"/>
    <w:rsid w:val="008B7477"/>
    <w:rsid w:val="008C69D3"/>
    <w:rsid w:val="008D15A5"/>
    <w:rsid w:val="008D3B26"/>
    <w:rsid w:val="008E0927"/>
    <w:rsid w:val="008E0C86"/>
    <w:rsid w:val="008E398F"/>
    <w:rsid w:val="008E65FD"/>
    <w:rsid w:val="009129A0"/>
    <w:rsid w:val="00920EFE"/>
    <w:rsid w:val="00925116"/>
    <w:rsid w:val="0093046A"/>
    <w:rsid w:val="009338AE"/>
    <w:rsid w:val="00940772"/>
    <w:rsid w:val="00943CBC"/>
    <w:rsid w:val="00951630"/>
    <w:rsid w:val="00953FC6"/>
    <w:rsid w:val="0095653B"/>
    <w:rsid w:val="00962EED"/>
    <w:rsid w:val="00965347"/>
    <w:rsid w:val="009666E6"/>
    <w:rsid w:val="0096759F"/>
    <w:rsid w:val="00981552"/>
    <w:rsid w:val="00985671"/>
    <w:rsid w:val="00985DA2"/>
    <w:rsid w:val="009952EC"/>
    <w:rsid w:val="009967E5"/>
    <w:rsid w:val="00996E41"/>
    <w:rsid w:val="009A1B67"/>
    <w:rsid w:val="009A7E5D"/>
    <w:rsid w:val="009B3400"/>
    <w:rsid w:val="009B581B"/>
    <w:rsid w:val="009D2594"/>
    <w:rsid w:val="009E2EFB"/>
    <w:rsid w:val="009E70DC"/>
    <w:rsid w:val="009E7AD6"/>
    <w:rsid w:val="009F1446"/>
    <w:rsid w:val="009F3040"/>
    <w:rsid w:val="009F7694"/>
    <w:rsid w:val="00A00440"/>
    <w:rsid w:val="00A01A4A"/>
    <w:rsid w:val="00A01BFB"/>
    <w:rsid w:val="00A2105F"/>
    <w:rsid w:val="00A3151D"/>
    <w:rsid w:val="00A462CA"/>
    <w:rsid w:val="00A64562"/>
    <w:rsid w:val="00A725F9"/>
    <w:rsid w:val="00A76463"/>
    <w:rsid w:val="00A77847"/>
    <w:rsid w:val="00A7787A"/>
    <w:rsid w:val="00A8093E"/>
    <w:rsid w:val="00A81320"/>
    <w:rsid w:val="00A82DA8"/>
    <w:rsid w:val="00A91EED"/>
    <w:rsid w:val="00A975D5"/>
    <w:rsid w:val="00AA724D"/>
    <w:rsid w:val="00AB41E9"/>
    <w:rsid w:val="00AB7575"/>
    <w:rsid w:val="00AC635E"/>
    <w:rsid w:val="00AE2B94"/>
    <w:rsid w:val="00AF0F2E"/>
    <w:rsid w:val="00AF107F"/>
    <w:rsid w:val="00AF48C2"/>
    <w:rsid w:val="00B04004"/>
    <w:rsid w:val="00B11CDF"/>
    <w:rsid w:val="00B12ECE"/>
    <w:rsid w:val="00B30AB4"/>
    <w:rsid w:val="00B3228D"/>
    <w:rsid w:val="00B3423F"/>
    <w:rsid w:val="00B359AF"/>
    <w:rsid w:val="00B4381A"/>
    <w:rsid w:val="00B43C65"/>
    <w:rsid w:val="00B44677"/>
    <w:rsid w:val="00B51B3C"/>
    <w:rsid w:val="00B54BFA"/>
    <w:rsid w:val="00B5758A"/>
    <w:rsid w:val="00B6250A"/>
    <w:rsid w:val="00B66A72"/>
    <w:rsid w:val="00B723BB"/>
    <w:rsid w:val="00B72811"/>
    <w:rsid w:val="00B750DA"/>
    <w:rsid w:val="00B75D11"/>
    <w:rsid w:val="00B7651E"/>
    <w:rsid w:val="00B81583"/>
    <w:rsid w:val="00B81BC8"/>
    <w:rsid w:val="00B81FBC"/>
    <w:rsid w:val="00B85BEE"/>
    <w:rsid w:val="00B85C86"/>
    <w:rsid w:val="00B9090E"/>
    <w:rsid w:val="00B916FC"/>
    <w:rsid w:val="00B95A75"/>
    <w:rsid w:val="00BA22B2"/>
    <w:rsid w:val="00BA5B46"/>
    <w:rsid w:val="00BB4C3E"/>
    <w:rsid w:val="00BC2033"/>
    <w:rsid w:val="00BE15FA"/>
    <w:rsid w:val="00BE16BC"/>
    <w:rsid w:val="00BE30AB"/>
    <w:rsid w:val="00BE39EC"/>
    <w:rsid w:val="00BE51D7"/>
    <w:rsid w:val="00BE5E89"/>
    <w:rsid w:val="00BF2952"/>
    <w:rsid w:val="00BF29BF"/>
    <w:rsid w:val="00BF63A1"/>
    <w:rsid w:val="00C03D99"/>
    <w:rsid w:val="00C07534"/>
    <w:rsid w:val="00C12AD9"/>
    <w:rsid w:val="00C203AE"/>
    <w:rsid w:val="00C23602"/>
    <w:rsid w:val="00C33C13"/>
    <w:rsid w:val="00C36376"/>
    <w:rsid w:val="00C36992"/>
    <w:rsid w:val="00C43C46"/>
    <w:rsid w:val="00C45541"/>
    <w:rsid w:val="00C522CB"/>
    <w:rsid w:val="00C56A5B"/>
    <w:rsid w:val="00C60C36"/>
    <w:rsid w:val="00C64EB1"/>
    <w:rsid w:val="00C64EDD"/>
    <w:rsid w:val="00C678E4"/>
    <w:rsid w:val="00C81AEC"/>
    <w:rsid w:val="00C81B74"/>
    <w:rsid w:val="00C84EDA"/>
    <w:rsid w:val="00C85DEE"/>
    <w:rsid w:val="00C9329B"/>
    <w:rsid w:val="00C95366"/>
    <w:rsid w:val="00CA2BD0"/>
    <w:rsid w:val="00CB27E2"/>
    <w:rsid w:val="00CB455A"/>
    <w:rsid w:val="00CB4CFC"/>
    <w:rsid w:val="00CB55EC"/>
    <w:rsid w:val="00CB58D2"/>
    <w:rsid w:val="00CB5A72"/>
    <w:rsid w:val="00CC02A4"/>
    <w:rsid w:val="00CC072D"/>
    <w:rsid w:val="00CC0C8C"/>
    <w:rsid w:val="00CC3F5B"/>
    <w:rsid w:val="00CC5835"/>
    <w:rsid w:val="00CC5861"/>
    <w:rsid w:val="00CD1342"/>
    <w:rsid w:val="00CD1836"/>
    <w:rsid w:val="00CE4306"/>
    <w:rsid w:val="00D13674"/>
    <w:rsid w:val="00D20C65"/>
    <w:rsid w:val="00D24389"/>
    <w:rsid w:val="00D26605"/>
    <w:rsid w:val="00D2732B"/>
    <w:rsid w:val="00D33F49"/>
    <w:rsid w:val="00D35486"/>
    <w:rsid w:val="00D46A8B"/>
    <w:rsid w:val="00D46CB3"/>
    <w:rsid w:val="00D66538"/>
    <w:rsid w:val="00D677D6"/>
    <w:rsid w:val="00D67876"/>
    <w:rsid w:val="00D87A95"/>
    <w:rsid w:val="00D93582"/>
    <w:rsid w:val="00D941CF"/>
    <w:rsid w:val="00D94F89"/>
    <w:rsid w:val="00D973C9"/>
    <w:rsid w:val="00DA1A63"/>
    <w:rsid w:val="00DA323D"/>
    <w:rsid w:val="00DA6004"/>
    <w:rsid w:val="00DC3FF7"/>
    <w:rsid w:val="00DC4EB5"/>
    <w:rsid w:val="00DC5650"/>
    <w:rsid w:val="00DD563B"/>
    <w:rsid w:val="00DD6173"/>
    <w:rsid w:val="00DE289D"/>
    <w:rsid w:val="00DE5DC5"/>
    <w:rsid w:val="00DE74C1"/>
    <w:rsid w:val="00DE7B41"/>
    <w:rsid w:val="00DF1044"/>
    <w:rsid w:val="00DF2545"/>
    <w:rsid w:val="00DF5C86"/>
    <w:rsid w:val="00E11173"/>
    <w:rsid w:val="00E1398B"/>
    <w:rsid w:val="00E14E0E"/>
    <w:rsid w:val="00E21E67"/>
    <w:rsid w:val="00E31B3E"/>
    <w:rsid w:val="00E35975"/>
    <w:rsid w:val="00E40807"/>
    <w:rsid w:val="00E45866"/>
    <w:rsid w:val="00E65D18"/>
    <w:rsid w:val="00E6695F"/>
    <w:rsid w:val="00E72D88"/>
    <w:rsid w:val="00E74463"/>
    <w:rsid w:val="00EA2851"/>
    <w:rsid w:val="00EA6192"/>
    <w:rsid w:val="00EB2476"/>
    <w:rsid w:val="00EB6D50"/>
    <w:rsid w:val="00EC5D85"/>
    <w:rsid w:val="00ED1F77"/>
    <w:rsid w:val="00ED4977"/>
    <w:rsid w:val="00ED5FC8"/>
    <w:rsid w:val="00EE4AD3"/>
    <w:rsid w:val="00EF1268"/>
    <w:rsid w:val="00EF23A1"/>
    <w:rsid w:val="00EF3160"/>
    <w:rsid w:val="00EF3722"/>
    <w:rsid w:val="00F0602F"/>
    <w:rsid w:val="00F1302F"/>
    <w:rsid w:val="00F14914"/>
    <w:rsid w:val="00F25C26"/>
    <w:rsid w:val="00F363B6"/>
    <w:rsid w:val="00F36705"/>
    <w:rsid w:val="00F36EB9"/>
    <w:rsid w:val="00F37C38"/>
    <w:rsid w:val="00F40A97"/>
    <w:rsid w:val="00F47FC1"/>
    <w:rsid w:val="00F57E97"/>
    <w:rsid w:val="00F64B44"/>
    <w:rsid w:val="00F65D75"/>
    <w:rsid w:val="00F906E7"/>
    <w:rsid w:val="00F9518E"/>
    <w:rsid w:val="00FA74DB"/>
    <w:rsid w:val="00FC0460"/>
    <w:rsid w:val="00FC1D3B"/>
    <w:rsid w:val="00FC62B2"/>
    <w:rsid w:val="00FD0389"/>
    <w:rsid w:val="00FE5324"/>
    <w:rsid w:val="00FE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625E"/>
  <w15:chartTrackingRefBased/>
  <w15:docId w15:val="{7E3E3454-CBCD-4D40-BEBF-F421676B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A63"/>
    <w:pPr>
      <w:spacing w:after="0" w:line="240" w:lineRule="auto"/>
    </w:pPr>
  </w:style>
  <w:style w:type="paragraph" w:styleId="FootnoteText">
    <w:name w:val="footnote text"/>
    <w:basedOn w:val="Normal"/>
    <w:link w:val="FootnoteTextChar"/>
    <w:uiPriority w:val="99"/>
    <w:semiHidden/>
    <w:unhideWhenUsed/>
    <w:rsid w:val="00294C6F"/>
    <w:pPr>
      <w:spacing w:after="0" w:line="240" w:lineRule="auto"/>
    </w:pPr>
    <w:rPr>
      <w:szCs w:val="20"/>
    </w:rPr>
  </w:style>
  <w:style w:type="character" w:customStyle="1" w:styleId="FootnoteTextChar">
    <w:name w:val="Footnote Text Char"/>
    <w:basedOn w:val="DefaultParagraphFont"/>
    <w:link w:val="FootnoteText"/>
    <w:uiPriority w:val="99"/>
    <w:semiHidden/>
    <w:rsid w:val="00294C6F"/>
    <w:rPr>
      <w:szCs w:val="20"/>
    </w:rPr>
  </w:style>
  <w:style w:type="character" w:styleId="FootnoteReference">
    <w:name w:val="footnote reference"/>
    <w:basedOn w:val="DefaultParagraphFont"/>
    <w:uiPriority w:val="99"/>
    <w:semiHidden/>
    <w:unhideWhenUsed/>
    <w:rsid w:val="00294C6F"/>
    <w:rPr>
      <w:vertAlign w:val="superscript"/>
    </w:rPr>
  </w:style>
  <w:style w:type="character" w:styleId="Hyperlink">
    <w:name w:val="Hyperlink"/>
    <w:basedOn w:val="DefaultParagraphFont"/>
    <w:uiPriority w:val="99"/>
    <w:unhideWhenUsed/>
    <w:rsid w:val="00294C6F"/>
    <w:rPr>
      <w:color w:val="0563C1" w:themeColor="hyperlink"/>
      <w:u w:val="single"/>
    </w:rPr>
  </w:style>
  <w:style w:type="character" w:styleId="CommentReference">
    <w:name w:val="annotation reference"/>
    <w:basedOn w:val="DefaultParagraphFont"/>
    <w:uiPriority w:val="99"/>
    <w:semiHidden/>
    <w:unhideWhenUsed/>
    <w:rsid w:val="00590831"/>
    <w:rPr>
      <w:sz w:val="16"/>
      <w:szCs w:val="16"/>
    </w:rPr>
  </w:style>
  <w:style w:type="paragraph" w:styleId="CommentText">
    <w:name w:val="annotation text"/>
    <w:basedOn w:val="Normal"/>
    <w:link w:val="CommentTextChar"/>
    <w:uiPriority w:val="99"/>
    <w:semiHidden/>
    <w:unhideWhenUsed/>
    <w:rsid w:val="00590831"/>
    <w:pPr>
      <w:spacing w:line="240" w:lineRule="auto"/>
    </w:pPr>
    <w:rPr>
      <w:szCs w:val="20"/>
    </w:rPr>
  </w:style>
  <w:style w:type="character" w:customStyle="1" w:styleId="CommentTextChar">
    <w:name w:val="Comment Text Char"/>
    <w:basedOn w:val="DefaultParagraphFont"/>
    <w:link w:val="CommentText"/>
    <w:uiPriority w:val="99"/>
    <w:semiHidden/>
    <w:rsid w:val="00590831"/>
    <w:rPr>
      <w:szCs w:val="20"/>
    </w:rPr>
  </w:style>
  <w:style w:type="paragraph" w:styleId="CommentSubject">
    <w:name w:val="annotation subject"/>
    <w:basedOn w:val="CommentText"/>
    <w:next w:val="CommentText"/>
    <w:link w:val="CommentSubjectChar"/>
    <w:uiPriority w:val="99"/>
    <w:semiHidden/>
    <w:unhideWhenUsed/>
    <w:rsid w:val="00590831"/>
    <w:rPr>
      <w:b/>
      <w:bCs/>
    </w:rPr>
  </w:style>
  <w:style w:type="character" w:customStyle="1" w:styleId="CommentSubjectChar">
    <w:name w:val="Comment Subject Char"/>
    <w:basedOn w:val="CommentTextChar"/>
    <w:link w:val="CommentSubject"/>
    <w:uiPriority w:val="99"/>
    <w:semiHidden/>
    <w:rsid w:val="00590831"/>
    <w:rPr>
      <w:b/>
      <w:bCs/>
      <w:szCs w:val="20"/>
    </w:rPr>
  </w:style>
  <w:style w:type="paragraph" w:styleId="BalloonText">
    <w:name w:val="Balloon Text"/>
    <w:basedOn w:val="Normal"/>
    <w:link w:val="BalloonTextChar"/>
    <w:uiPriority w:val="99"/>
    <w:semiHidden/>
    <w:unhideWhenUsed/>
    <w:rsid w:val="0059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31"/>
    <w:rPr>
      <w:rFonts w:ascii="Segoe UI" w:hAnsi="Segoe UI" w:cs="Segoe UI"/>
      <w:sz w:val="18"/>
      <w:szCs w:val="18"/>
    </w:rPr>
  </w:style>
  <w:style w:type="table" w:styleId="TableGrid">
    <w:name w:val="Table Grid"/>
    <w:basedOn w:val="TableNormal"/>
    <w:uiPriority w:val="39"/>
    <w:rsid w:val="00D6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A5"/>
  </w:style>
  <w:style w:type="paragraph" w:styleId="Footer">
    <w:name w:val="footer"/>
    <w:basedOn w:val="Normal"/>
    <w:link w:val="FooterChar"/>
    <w:uiPriority w:val="99"/>
    <w:unhideWhenUsed/>
    <w:rsid w:val="00721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A5"/>
  </w:style>
  <w:style w:type="paragraph" w:customStyle="1" w:styleId="msonormal0">
    <w:name w:val="msonormal"/>
    <w:basedOn w:val="Normal"/>
    <w:rsid w:val="00C0753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FollowedHyperlink">
    <w:name w:val="FollowedHyperlink"/>
    <w:basedOn w:val="DefaultParagraphFont"/>
    <w:uiPriority w:val="99"/>
    <w:semiHidden/>
    <w:unhideWhenUsed/>
    <w:rsid w:val="00C07534"/>
    <w:rPr>
      <w:color w:val="800080"/>
      <w:u w:val="single"/>
    </w:rPr>
  </w:style>
  <w:style w:type="paragraph" w:styleId="NormalWeb">
    <w:name w:val="Normal (Web)"/>
    <w:basedOn w:val="Normal"/>
    <w:uiPriority w:val="99"/>
    <w:semiHidden/>
    <w:unhideWhenUsed/>
    <w:rsid w:val="00C07534"/>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49394">
      <w:bodyDiv w:val="1"/>
      <w:marLeft w:val="0"/>
      <w:marRight w:val="0"/>
      <w:marTop w:val="0"/>
      <w:marBottom w:val="0"/>
      <w:divBdr>
        <w:top w:val="none" w:sz="0" w:space="0" w:color="auto"/>
        <w:left w:val="none" w:sz="0" w:space="0" w:color="auto"/>
        <w:bottom w:val="none" w:sz="0" w:space="0" w:color="auto"/>
        <w:right w:val="none" w:sz="0" w:space="0" w:color="auto"/>
      </w:divBdr>
    </w:div>
    <w:div w:id="1636446001">
      <w:bodyDiv w:val="1"/>
      <w:marLeft w:val="0"/>
      <w:marRight w:val="0"/>
      <w:marTop w:val="0"/>
      <w:marBottom w:val="0"/>
      <w:divBdr>
        <w:top w:val="none" w:sz="0" w:space="0" w:color="auto"/>
        <w:left w:val="none" w:sz="0" w:space="0" w:color="auto"/>
        <w:bottom w:val="none" w:sz="0" w:space="0" w:color="auto"/>
        <w:right w:val="none" w:sz="0" w:space="0" w:color="auto"/>
      </w:divBdr>
    </w:div>
    <w:div w:id="204193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ia.knaw.local\rathenau$\group\Microdata\Factsheets%20en%20datapublicaties\3%20-%20Producten\3.2%20Card;%20Publicaties\FC;%20Ontwikkeling%20onderzoeksprofiel%20Nederland\Data%20en%20analyse\Data%20en%20docs%202024\Voor%20achterliggend%20bestan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a.knaw.local\rathenau$\group\Microdata\Factsheets%20en%20datapublicaties\3%20-%20Producten\3.2%20Card;%20Publicaties\FC;%20Ontwikkeling%20onderzoeksprofiel%20Nederland\Data%20en%20analyse\Data%20en%20docs%202024\Voor%20achterliggend%20bestan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800" b="0" i="0" baseline="0">
                <a:effectLst/>
              </a:rPr>
              <a:t>Citation impactscore disciplines 2022 en 2006</a:t>
            </a:r>
            <a:endParaRPr lang="nl-N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tx>
            <c:strRef>
              <c:f>MNCS!$F$6</c:f>
              <c:strCache>
                <c:ptCount val="1"/>
                <c:pt idx="0">
                  <c:v>2019-2022</c:v>
                </c:pt>
              </c:strCache>
            </c:strRef>
          </c:tx>
          <c:spPr>
            <a:solidFill>
              <a:schemeClr val="accent2"/>
            </a:solidFill>
            <a:ln>
              <a:noFill/>
            </a:ln>
            <a:effectLst/>
          </c:spPr>
          <c:invertIfNegative val="0"/>
          <c:cat>
            <c:strRef>
              <c:f>MNCS!$A$7:$A$36</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MNCS!$F$7:$F$36</c:f>
              <c:numCache>
                <c:formatCode>0.00</c:formatCode>
                <c:ptCount val="30"/>
                <c:pt idx="0">
                  <c:v>1.30763845547391</c:v>
                </c:pt>
                <c:pt idx="1">
                  <c:v>1.3699286181208801</c:v>
                </c:pt>
                <c:pt idx="2">
                  <c:v>1.3494105500554201</c:v>
                </c:pt>
                <c:pt idx="3">
                  <c:v>1.1558911989345799</c:v>
                </c:pt>
                <c:pt idx="4">
                  <c:v>1.3678318057932699</c:v>
                </c:pt>
                <c:pt idx="5">
                  <c:v>1.2390380580203699</c:v>
                </c:pt>
                <c:pt idx="6">
                  <c:v>1.2887321215010801</c:v>
                </c:pt>
                <c:pt idx="7">
                  <c:v>1.2529495586156401</c:v>
                </c:pt>
                <c:pt idx="8">
                  <c:v>1.3303002170118401</c:v>
                </c:pt>
                <c:pt idx="9">
                  <c:v>1.0875614593937399</c:v>
                </c:pt>
                <c:pt idx="10">
                  <c:v>1.19914030129106</c:v>
                </c:pt>
                <c:pt idx="11">
                  <c:v>1.22208547898213</c:v>
                </c:pt>
                <c:pt idx="12">
                  <c:v>1.24070954222671</c:v>
                </c:pt>
                <c:pt idx="13">
                  <c:v>1.11134393212087</c:v>
                </c:pt>
                <c:pt idx="14">
                  <c:v>1.1307818927042801</c:v>
                </c:pt>
                <c:pt idx="15">
                  <c:v>1.3344828437227101</c:v>
                </c:pt>
                <c:pt idx="16">
                  <c:v>1.1610751101455801</c:v>
                </c:pt>
                <c:pt idx="17">
                  <c:v>1.0975573712406199</c:v>
                </c:pt>
                <c:pt idx="18">
                  <c:v>1.47744015281598</c:v>
                </c:pt>
                <c:pt idx="19">
                  <c:v>0.912593108040199</c:v>
                </c:pt>
                <c:pt idx="20">
                  <c:v>1.3413542580492299</c:v>
                </c:pt>
                <c:pt idx="21">
                  <c:v>0.96444166323236602</c:v>
                </c:pt>
                <c:pt idx="22">
                  <c:v>1.1664100298475</c:v>
                </c:pt>
                <c:pt idx="23">
                  <c:v>1.5442249846170899</c:v>
                </c:pt>
                <c:pt idx="24">
                  <c:v>1.2086367934539199</c:v>
                </c:pt>
                <c:pt idx="25">
                  <c:v>1.3917110816726801</c:v>
                </c:pt>
                <c:pt idx="26">
                  <c:v>1.3247345630228899</c:v>
                </c:pt>
                <c:pt idx="27">
                  <c:v>1.2814951853312599</c:v>
                </c:pt>
                <c:pt idx="28">
                  <c:v>1.2403176308697199</c:v>
                </c:pt>
                <c:pt idx="29">
                  <c:v>1.0401134449212099</c:v>
                </c:pt>
              </c:numCache>
            </c:numRef>
          </c:val>
          <c:extLst>
            <c:ext xmlns:c16="http://schemas.microsoft.com/office/drawing/2014/chart" uri="{C3380CC4-5D6E-409C-BE32-E72D297353CC}">
              <c16:uniqueId val="{00000000-3147-477A-8C19-1F5A250BA78B}"/>
            </c:ext>
          </c:extLst>
        </c:ser>
        <c:dLbls>
          <c:showLegendKey val="0"/>
          <c:showVal val="0"/>
          <c:showCatName val="0"/>
          <c:showSerName val="0"/>
          <c:showPercent val="0"/>
          <c:showBubbleSize val="0"/>
        </c:dLbls>
        <c:gapWidth val="219"/>
        <c:axId val="508777128"/>
        <c:axId val="508778112"/>
      </c:barChart>
      <c:lineChart>
        <c:grouping val="stacked"/>
        <c:varyColors val="0"/>
        <c:ser>
          <c:idx val="0"/>
          <c:order val="0"/>
          <c:tx>
            <c:strRef>
              <c:f>MNCS!$B$6</c:f>
              <c:strCache>
                <c:ptCount val="1"/>
                <c:pt idx="0">
                  <c:v>2003-2006</c:v>
                </c:pt>
              </c:strCache>
            </c:strRef>
          </c:tx>
          <c:spPr>
            <a:ln w="28575" cap="rnd">
              <a:noFill/>
              <a:round/>
            </a:ln>
            <a:effectLst/>
          </c:spPr>
          <c:marker>
            <c:symbol val="circle"/>
            <c:size val="5"/>
            <c:spPr>
              <a:solidFill>
                <a:schemeClr val="accent1"/>
              </a:solidFill>
              <a:ln w="9525">
                <a:solidFill>
                  <a:schemeClr val="accent1"/>
                </a:solidFill>
              </a:ln>
              <a:effectLst/>
            </c:spPr>
          </c:marker>
          <c:cat>
            <c:strRef>
              <c:f>MNCS!$A$7:$A$36</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MNCS!$B$7:$B$36</c:f>
              <c:numCache>
                <c:formatCode>0.00</c:formatCode>
                <c:ptCount val="30"/>
                <c:pt idx="0">
                  <c:v>1.2719008649921999</c:v>
                </c:pt>
                <c:pt idx="1">
                  <c:v>1.1261633404006299</c:v>
                </c:pt>
                <c:pt idx="2">
                  <c:v>1.3459639899665901</c:v>
                </c:pt>
                <c:pt idx="3">
                  <c:v>1.2138897461393201</c:v>
                </c:pt>
                <c:pt idx="4">
                  <c:v>1.25227318147786</c:v>
                </c:pt>
                <c:pt idx="5">
                  <c:v>1.1493638293881701</c:v>
                </c:pt>
                <c:pt idx="6">
                  <c:v>1.5944455491695699</c:v>
                </c:pt>
                <c:pt idx="7">
                  <c:v>0.90656482525418103</c:v>
                </c:pt>
                <c:pt idx="8">
                  <c:v>1.2386976198865001</c:v>
                </c:pt>
                <c:pt idx="9">
                  <c:v>1.1896051343179701</c:v>
                </c:pt>
                <c:pt idx="10">
                  <c:v>1.2433071148041701</c:v>
                </c:pt>
                <c:pt idx="11">
                  <c:v>1.1598417614869101</c:v>
                </c:pt>
                <c:pt idx="12">
                  <c:v>1.07615596186447</c:v>
                </c:pt>
                <c:pt idx="13">
                  <c:v>1.3212375049626099</c:v>
                </c:pt>
                <c:pt idx="14">
                  <c:v>1.2136481903907701</c:v>
                </c:pt>
                <c:pt idx="15">
                  <c:v>1.4263857090225101</c:v>
                </c:pt>
                <c:pt idx="16">
                  <c:v>0.96160515187459505</c:v>
                </c:pt>
                <c:pt idx="17">
                  <c:v>0.93206903410529995</c:v>
                </c:pt>
                <c:pt idx="18">
                  <c:v>1.3449116379002499</c:v>
                </c:pt>
                <c:pt idx="19">
                  <c:v>1.0936515565174301</c:v>
                </c:pt>
                <c:pt idx="20">
                  <c:v>1.26798828367788</c:v>
                </c:pt>
                <c:pt idx="21">
                  <c:v>1.10776987501112</c:v>
                </c:pt>
                <c:pt idx="22">
                  <c:v>1.06609793023584</c:v>
                </c:pt>
                <c:pt idx="23">
                  <c:v>4.3561992001987999</c:v>
                </c:pt>
                <c:pt idx="24">
                  <c:v>1.4485311289646501</c:v>
                </c:pt>
                <c:pt idx="25">
                  <c:v>1.3203151273568901</c:v>
                </c:pt>
                <c:pt idx="26">
                  <c:v>1.0308173598216299</c:v>
                </c:pt>
                <c:pt idx="27">
                  <c:v>1.1166775258371999</c:v>
                </c:pt>
                <c:pt idx="28">
                  <c:v>0.92184568609540896</c:v>
                </c:pt>
                <c:pt idx="29">
                  <c:v>1.0339061341482101</c:v>
                </c:pt>
              </c:numCache>
            </c:numRef>
          </c:val>
          <c:smooth val="0"/>
          <c:extLst>
            <c:ext xmlns:c16="http://schemas.microsoft.com/office/drawing/2014/chart" uri="{C3380CC4-5D6E-409C-BE32-E72D297353CC}">
              <c16:uniqueId val="{00000001-3147-477A-8C19-1F5A250BA78B}"/>
            </c:ext>
          </c:extLst>
        </c:ser>
        <c:dLbls>
          <c:showLegendKey val="0"/>
          <c:showVal val="0"/>
          <c:showCatName val="0"/>
          <c:showSerName val="0"/>
          <c:showPercent val="0"/>
          <c:showBubbleSize val="0"/>
        </c:dLbls>
        <c:marker val="1"/>
        <c:smooth val="0"/>
        <c:axId val="508777128"/>
        <c:axId val="508778112"/>
        <c:extLst>
          <c:ext xmlns:c15="http://schemas.microsoft.com/office/drawing/2012/chart" uri="{02D57815-91ED-43cb-92C2-25804820EDAC}">
            <c15:filteredLineSeries>
              <c15:ser>
                <c:idx val="2"/>
                <c:order val="2"/>
                <c:tx>
                  <c:strRef>
                    <c:extLst>
                      <c:ext uri="{02D57815-91ED-43cb-92C2-25804820EDAC}">
                        <c15:formulaRef>
                          <c15:sqref>MNCS!$G$6:$G$36</c15:sqref>
                        </c15:formulaRef>
                      </c:ext>
                    </c:extLst>
                    <c:strCache>
                      <c:ptCount val="31"/>
                      <c:pt idx="0">
                        <c:v>Modiale gemiddelde</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strCache>
                  </c:strRef>
                </c:tx>
                <c:spPr>
                  <a:ln w="25400" cap="rnd">
                    <a:noFill/>
                    <a:round/>
                  </a:ln>
                  <a:effectLst/>
                </c:spPr>
                <c:marker>
                  <c:symbol val="circle"/>
                  <c:size val="5"/>
                  <c:spPr>
                    <a:solidFill>
                      <a:schemeClr val="accent3"/>
                    </a:solidFill>
                    <a:ln w="9525">
                      <a:solidFill>
                        <a:schemeClr val="accent3"/>
                      </a:solidFill>
                    </a:ln>
                    <a:effectLst/>
                  </c:spPr>
                </c:marker>
                <c:val>
                  <c:numLit>
                    <c:formatCode>General</c:formatCode>
                    <c:ptCount val="1"/>
                    <c:pt idx="0">
                      <c:v>1</c:v>
                    </c:pt>
                  </c:numLit>
                </c:val>
                <c:smooth val="0"/>
                <c:extLst>
                  <c:ext xmlns:c16="http://schemas.microsoft.com/office/drawing/2014/chart" uri="{C3380CC4-5D6E-409C-BE32-E72D297353CC}">
                    <c16:uniqueId val="{00000002-3147-477A-8C19-1F5A250BA78B}"/>
                  </c:ext>
                </c:extLst>
              </c15:ser>
            </c15:filteredLineSeries>
          </c:ext>
        </c:extLst>
      </c:lineChart>
      <c:catAx>
        <c:axId val="50877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8778112"/>
        <c:crosses val="autoZero"/>
        <c:auto val="1"/>
        <c:lblAlgn val="ctr"/>
        <c:lblOffset val="100"/>
        <c:noMultiLvlLbl val="0"/>
      </c:catAx>
      <c:valAx>
        <c:axId val="508778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0877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800" b="0" i="0" baseline="0">
                <a:effectLst/>
              </a:rPr>
              <a:t>% rise in number of publications 2006-2022</a:t>
            </a:r>
            <a:endParaRPr lang="nl-N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'Aantal publicaties figuur'!$B$2</c:f>
              <c:strCache>
                <c:ptCount val="1"/>
                <c:pt idx="0">
                  <c:v>% stijging NL</c:v>
                </c:pt>
              </c:strCache>
            </c:strRef>
          </c:tx>
          <c:spPr>
            <a:solidFill>
              <a:schemeClr val="accent1"/>
            </a:solidFill>
            <a:ln>
              <a:noFill/>
            </a:ln>
            <a:effectLst/>
          </c:spPr>
          <c:invertIfNegative val="0"/>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figuur'!$B$3:$B$32</c:f>
              <c:numCache>
                <c:formatCode>General</c:formatCode>
                <c:ptCount val="30"/>
                <c:pt idx="0">
                  <c:v>123.44013490725145</c:v>
                </c:pt>
                <c:pt idx="1">
                  <c:v>125.93822885009507</c:v>
                </c:pt>
                <c:pt idx="2">
                  <c:v>49.377002846281556</c:v>
                </c:pt>
                <c:pt idx="3">
                  <c:v>166.80018850141377</c:v>
                </c:pt>
                <c:pt idx="4">
                  <c:v>77.041033449022365</c:v>
                </c:pt>
                <c:pt idx="5">
                  <c:v>96.439054044477658</c:v>
                </c:pt>
                <c:pt idx="6">
                  <c:v>37.505805909981774</c:v>
                </c:pt>
                <c:pt idx="7">
                  <c:v>392.56826823366816</c:v>
                </c:pt>
                <c:pt idx="8">
                  <c:v>119.2311486686468</c:v>
                </c:pt>
                <c:pt idx="9">
                  <c:v>136.20200282607354</c:v>
                </c:pt>
                <c:pt idx="10">
                  <c:v>136.57589491952919</c:v>
                </c:pt>
                <c:pt idx="11">
                  <c:v>153.43938806052824</c:v>
                </c:pt>
                <c:pt idx="12">
                  <c:v>308.16901408450701</c:v>
                </c:pt>
                <c:pt idx="13">
                  <c:v>144.02013696766326</c:v>
                </c:pt>
                <c:pt idx="14">
                  <c:v>218.67085061078151</c:v>
                </c:pt>
                <c:pt idx="15">
                  <c:v>324.24196042624243</c:v>
                </c:pt>
                <c:pt idx="16">
                  <c:v>147.0604075038145</c:v>
                </c:pt>
                <c:pt idx="17">
                  <c:v>492.03973329704695</c:v>
                </c:pt>
                <c:pt idx="18">
                  <c:v>349.67960799095448</c:v>
                </c:pt>
                <c:pt idx="19">
                  <c:v>72.313336210617095</c:v>
                </c:pt>
                <c:pt idx="20">
                  <c:v>249.76709051995502</c:v>
                </c:pt>
                <c:pt idx="21">
                  <c:v>49.53552437696176</c:v>
                </c:pt>
                <c:pt idx="22">
                  <c:v>91.430292169160836</c:v>
                </c:pt>
                <c:pt idx="23">
                  <c:v>1053.6878216123503</c:v>
                </c:pt>
                <c:pt idx="24">
                  <c:v>33.758971893886567</c:v>
                </c:pt>
                <c:pt idx="25">
                  <c:v>468.58956665746661</c:v>
                </c:pt>
                <c:pt idx="26">
                  <c:v>183.11393861459862</c:v>
                </c:pt>
                <c:pt idx="27">
                  <c:v>236.97427521437371</c:v>
                </c:pt>
                <c:pt idx="28">
                  <c:v>321.14285714285711</c:v>
                </c:pt>
                <c:pt idx="29">
                  <c:v>53.717319577269272</c:v>
                </c:pt>
              </c:numCache>
            </c:numRef>
          </c:val>
          <c:extLst>
            <c:ext xmlns:c16="http://schemas.microsoft.com/office/drawing/2014/chart" uri="{C3380CC4-5D6E-409C-BE32-E72D297353CC}">
              <c16:uniqueId val="{00000000-E6D1-4902-9123-E251639E3A8F}"/>
            </c:ext>
          </c:extLst>
        </c:ser>
        <c:dLbls>
          <c:showLegendKey val="0"/>
          <c:showVal val="0"/>
          <c:showCatName val="0"/>
          <c:showSerName val="0"/>
          <c:showPercent val="0"/>
          <c:showBubbleSize val="0"/>
        </c:dLbls>
        <c:gapWidth val="219"/>
        <c:overlap val="-27"/>
        <c:axId val="514776896"/>
        <c:axId val="514777552"/>
      </c:barChart>
      <c:lineChart>
        <c:grouping val="standard"/>
        <c:varyColors val="0"/>
        <c:ser>
          <c:idx val="1"/>
          <c:order val="1"/>
          <c:tx>
            <c:strRef>
              <c:f>'Aantal publicaties figuur'!$C$2</c:f>
              <c:strCache>
                <c:ptCount val="1"/>
                <c:pt idx="0">
                  <c:v>% stijging referentielanden</c:v>
                </c:pt>
              </c:strCache>
            </c:strRef>
          </c:tx>
          <c:spPr>
            <a:ln w="28575" cap="rnd">
              <a:noFill/>
              <a:round/>
            </a:ln>
            <a:effectLst/>
          </c:spPr>
          <c:marker>
            <c:symbol val="triangle"/>
            <c:size val="6"/>
            <c:spPr>
              <a:solidFill>
                <a:schemeClr val="tx1"/>
              </a:solidFill>
              <a:ln w="9525">
                <a:solidFill>
                  <a:schemeClr val="tx1"/>
                </a:solidFill>
              </a:ln>
              <a:effectLst/>
            </c:spPr>
          </c:marker>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figuur'!$C$3:$C$32</c:f>
              <c:numCache>
                <c:formatCode>General</c:formatCode>
                <c:ptCount val="30"/>
                <c:pt idx="0">
                  <c:v>188.77086953237182</c:v>
                </c:pt>
                <c:pt idx="1">
                  <c:v>100.58962347222715</c:v>
                </c:pt>
                <c:pt idx="2">
                  <c:v>69.385373488129403</c:v>
                </c:pt>
                <c:pt idx="3">
                  <c:v>215.59682654165067</c:v>
                </c:pt>
                <c:pt idx="4">
                  <c:v>117.26457036050202</c:v>
                </c:pt>
                <c:pt idx="5">
                  <c:v>105.44959163942752</c:v>
                </c:pt>
                <c:pt idx="6">
                  <c:v>116.70362622917827</c:v>
                </c:pt>
                <c:pt idx="7">
                  <c:v>484.37305625818459</c:v>
                </c:pt>
                <c:pt idx="8">
                  <c:v>130.25925570643412</c:v>
                </c:pt>
                <c:pt idx="9">
                  <c:v>302.16535568914907</c:v>
                </c:pt>
                <c:pt idx="10">
                  <c:v>161.94730541648917</c:v>
                </c:pt>
                <c:pt idx="11">
                  <c:v>221.9935988061585</c:v>
                </c:pt>
                <c:pt idx="12">
                  <c:v>237.13302064782323</c:v>
                </c:pt>
                <c:pt idx="13">
                  <c:v>228.51257307873186</c:v>
                </c:pt>
                <c:pt idx="14">
                  <c:v>454.35612059053057</c:v>
                </c:pt>
                <c:pt idx="15">
                  <c:v>393.85106517582005</c:v>
                </c:pt>
                <c:pt idx="16">
                  <c:v>331.19593857088614</c:v>
                </c:pt>
                <c:pt idx="17">
                  <c:v>231.98987948521031</c:v>
                </c:pt>
                <c:pt idx="18">
                  <c:v>214.42921740510158</c:v>
                </c:pt>
                <c:pt idx="19">
                  <c:v>195.77111066587537</c:v>
                </c:pt>
                <c:pt idx="20">
                  <c:v>259.51949827638128</c:v>
                </c:pt>
                <c:pt idx="21">
                  <c:v>104.15645275626827</c:v>
                </c:pt>
                <c:pt idx="22">
                  <c:v>144.23052854035797</c:v>
                </c:pt>
                <c:pt idx="23">
                  <c:v>706.12116616042294</c:v>
                </c:pt>
                <c:pt idx="24">
                  <c:v>81.55792910125048</c:v>
                </c:pt>
                <c:pt idx="25">
                  <c:v>171.91181294492065</c:v>
                </c:pt>
                <c:pt idx="26">
                  <c:v>164.92157144912994</c:v>
                </c:pt>
                <c:pt idx="27">
                  <c:v>230.38894682803388</c:v>
                </c:pt>
                <c:pt idx="28">
                  <c:v>215.08892537491104</c:v>
                </c:pt>
                <c:pt idx="29">
                  <c:v>116.24332403887433</c:v>
                </c:pt>
              </c:numCache>
            </c:numRef>
          </c:val>
          <c:smooth val="0"/>
          <c:extLst>
            <c:ext xmlns:c16="http://schemas.microsoft.com/office/drawing/2014/chart" uri="{C3380CC4-5D6E-409C-BE32-E72D297353CC}">
              <c16:uniqueId val="{00000001-E6D1-4902-9123-E251639E3A8F}"/>
            </c:ext>
          </c:extLst>
        </c:ser>
        <c:ser>
          <c:idx val="2"/>
          <c:order val="2"/>
          <c:tx>
            <c:strRef>
              <c:f>'Aantal publicaties figuur'!$D$2</c:f>
              <c:strCache>
                <c:ptCount val="1"/>
                <c:pt idx="0">
                  <c:v>% stijging referentielanden zonder China</c:v>
                </c:pt>
              </c:strCache>
            </c:strRef>
          </c:tx>
          <c:spPr>
            <a:ln w="28575" cap="rnd">
              <a:noFill/>
              <a:round/>
            </a:ln>
            <a:effectLst/>
          </c:spPr>
          <c:marker>
            <c:symbol val="circle"/>
            <c:size val="5"/>
            <c:spPr>
              <a:solidFill>
                <a:schemeClr val="accent3"/>
              </a:solidFill>
              <a:ln w="19050">
                <a:solidFill>
                  <a:schemeClr val="accent3"/>
                </a:solidFill>
              </a:ln>
              <a:effectLst/>
            </c:spPr>
          </c:marker>
          <c:cat>
            <c:strRef>
              <c:f>'Aantal publicaties figuur'!$A$3:$A$32</c:f>
              <c:strCache>
                <c:ptCount val="30"/>
                <c:pt idx="0">
                  <c:v>AGRICULTURE AND FOOD SCIENCE</c:v>
                </c:pt>
                <c:pt idx="1">
                  <c:v>ASTRONOMY AND ASTROPHYSICS</c:v>
                </c:pt>
                <c:pt idx="2">
                  <c:v>BASIC LIFE SCIENCES</c:v>
                </c:pt>
                <c:pt idx="3">
                  <c:v>BASIC MEDICAL SCIENCES</c:v>
                </c:pt>
                <c:pt idx="4">
                  <c:v>BIOLOGICAL SCIENCES</c:v>
                </c:pt>
                <c:pt idx="5">
                  <c:v>BIOMEDICAL SCIENCES</c:v>
                </c:pt>
                <c:pt idx="6">
                  <c:v>CHEMISTRY AND CHEMICAL ENGINEERING</c:v>
                </c:pt>
                <c:pt idx="7">
                  <c:v>CIVIL ENGINEERING AND CONSTRUCTION</c:v>
                </c:pt>
                <c:pt idx="8">
                  <c:v>CLINICAL MEDICINE</c:v>
                </c:pt>
                <c:pt idx="9">
                  <c:v>COMPUTER SCIENCES</c:v>
                </c:pt>
                <c:pt idx="10">
                  <c:v>EARTH SCIENCES AND TECHNOLOGY</c:v>
                </c:pt>
                <c:pt idx="11">
                  <c:v>ECONOMICS AND BUSINESS</c:v>
                </c:pt>
                <c:pt idx="12">
                  <c:v>EDUCATIONAL SCIENCES</c:v>
                </c:pt>
                <c:pt idx="13">
                  <c:v>ELECTRICAL ENGINEERING AND TELECOMMUNICATION</c:v>
                </c:pt>
                <c:pt idx="14">
                  <c:v>ENERGY SCIENCE AND TECHNOLOGY</c:v>
                </c:pt>
                <c:pt idx="15">
                  <c:v>ENVIRONMENTAL SCIENCES AND TECHNOLOGY</c:v>
                </c:pt>
                <c:pt idx="16">
                  <c:v>GENERAL AND INDUSTRIAL ENGINEERING</c:v>
                </c:pt>
                <c:pt idx="17">
                  <c:v>HEALTH SCIENCES</c:v>
                </c:pt>
                <c:pt idx="18">
                  <c:v>INFORMATION AND COMMUNICATION SCIENCES</c:v>
                </c:pt>
                <c:pt idx="19">
                  <c:v>INSTRUMENTS AND INSTRUMENTATION</c:v>
                </c:pt>
                <c:pt idx="20">
                  <c:v>MANAGEMENT AND PLANNING</c:v>
                </c:pt>
                <c:pt idx="21">
                  <c:v>MATHEMATICS</c:v>
                </c:pt>
                <c:pt idx="22">
                  <c:v>MECHANICAL ENGINEERING AND AEROSPACE</c:v>
                </c:pt>
                <c:pt idx="23">
                  <c:v>MULTIDISCIPLINARY JOURNALS</c:v>
                </c:pt>
                <c:pt idx="24">
                  <c:v>PHYSICS AND MATERIALS SCIENCE</c:v>
                </c:pt>
                <c:pt idx="25">
                  <c:v>POLITICAL SCIENCE AND PUBLIC ADMINISTRATION</c:v>
                </c:pt>
                <c:pt idx="26">
                  <c:v>PSYCHOLOGY</c:v>
                </c:pt>
                <c:pt idx="27">
                  <c:v>SOCIAL AND BEHAVIORAL SCIENCES, INTERDISCIPLINARY</c:v>
                </c:pt>
                <c:pt idx="28">
                  <c:v>SOCIOLOGY AND ANTHROPOLOGY</c:v>
                </c:pt>
                <c:pt idx="29">
                  <c:v>STATISTICAL SCIENCES</c:v>
                </c:pt>
              </c:strCache>
            </c:strRef>
          </c:cat>
          <c:val>
            <c:numRef>
              <c:f>'Aantal publicaties figuur'!$D$3:$D$32</c:f>
              <c:numCache>
                <c:formatCode>General</c:formatCode>
                <c:ptCount val="30"/>
                <c:pt idx="0">
                  <c:v>112.07655041810879</c:v>
                </c:pt>
                <c:pt idx="1">
                  <c:v>89.462846671394232</c:v>
                </c:pt>
                <c:pt idx="2">
                  <c:v>28.225090221635586</c:v>
                </c:pt>
                <c:pt idx="3">
                  <c:v>134.86858563929366</c:v>
                </c:pt>
                <c:pt idx="4">
                  <c:v>77.217868883735733</c:v>
                </c:pt>
                <c:pt idx="5">
                  <c:v>57.94893103697023</c:v>
                </c:pt>
                <c:pt idx="6">
                  <c:v>47.156339198429599</c:v>
                </c:pt>
                <c:pt idx="7">
                  <c:v>267.94429389325461</c:v>
                </c:pt>
                <c:pt idx="8">
                  <c:v>100.9294143122718</c:v>
                </c:pt>
                <c:pt idx="9">
                  <c:v>158.81231304522044</c:v>
                </c:pt>
                <c:pt idx="10">
                  <c:v>101.5642557134349</c:v>
                </c:pt>
                <c:pt idx="11">
                  <c:v>185.984120989064</c:v>
                </c:pt>
                <c:pt idx="12">
                  <c:v>216.48735058240302</c:v>
                </c:pt>
                <c:pt idx="13">
                  <c:v>104.59639324508667</c:v>
                </c:pt>
                <c:pt idx="14">
                  <c:v>251.19205561684629</c:v>
                </c:pt>
                <c:pt idx="15">
                  <c:v>260.97816997073522</c:v>
                </c:pt>
                <c:pt idx="16">
                  <c:v>179.26554101299871</c:v>
                </c:pt>
                <c:pt idx="17">
                  <c:v>230.07349968654839</c:v>
                </c:pt>
                <c:pt idx="18">
                  <c:v>184.82484366462327</c:v>
                </c:pt>
                <c:pt idx="19">
                  <c:v>90.987982653739891</c:v>
                </c:pt>
                <c:pt idx="20">
                  <c:v>223.16006541989663</c:v>
                </c:pt>
                <c:pt idx="21">
                  <c:v>62.446758764571307</c:v>
                </c:pt>
                <c:pt idx="22">
                  <c:v>58.59740629446172</c:v>
                </c:pt>
                <c:pt idx="23">
                  <c:v>637.67636131812151</c:v>
                </c:pt>
                <c:pt idx="24">
                  <c:v>29.425927488291748</c:v>
                </c:pt>
                <c:pt idx="25">
                  <c:v>163.0312084028437</c:v>
                </c:pt>
                <c:pt idx="26">
                  <c:v>142.77185501066151</c:v>
                </c:pt>
                <c:pt idx="27">
                  <c:v>207.88377660446665</c:v>
                </c:pt>
                <c:pt idx="28">
                  <c:v>196.84154779866734</c:v>
                </c:pt>
                <c:pt idx="29">
                  <c:v>116.23036478723083</c:v>
                </c:pt>
              </c:numCache>
            </c:numRef>
          </c:val>
          <c:smooth val="0"/>
          <c:extLst>
            <c:ext xmlns:c16="http://schemas.microsoft.com/office/drawing/2014/chart" uri="{C3380CC4-5D6E-409C-BE32-E72D297353CC}">
              <c16:uniqueId val="{00000002-E6D1-4902-9123-E251639E3A8F}"/>
            </c:ext>
          </c:extLst>
        </c:ser>
        <c:dLbls>
          <c:showLegendKey val="0"/>
          <c:showVal val="0"/>
          <c:showCatName val="0"/>
          <c:showSerName val="0"/>
          <c:showPercent val="0"/>
          <c:showBubbleSize val="0"/>
        </c:dLbls>
        <c:marker val="1"/>
        <c:smooth val="0"/>
        <c:axId val="514776896"/>
        <c:axId val="514777552"/>
      </c:lineChart>
      <c:catAx>
        <c:axId val="51477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4777552"/>
        <c:crosses val="autoZero"/>
        <c:auto val="1"/>
        <c:lblAlgn val="ctr"/>
        <c:lblOffset val="100"/>
        <c:noMultiLvlLbl val="0"/>
      </c:catAx>
      <c:valAx>
        <c:axId val="51477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14776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1223-64AF-4AAF-ADF5-AD3F5379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266</Words>
  <Characters>1469</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KNAW</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Nelleke van den Broek-Honingh</dc:creator>
  <cp:keywords/>
  <dc:description/>
  <cp:lastModifiedBy>Lionne Koens</cp:lastModifiedBy>
  <cp:revision>3</cp:revision>
  <cp:lastPrinted>2018-12-07T09:28:00Z</cp:lastPrinted>
  <dcterms:created xsi:type="dcterms:W3CDTF">2024-07-30T11:21:00Z</dcterms:created>
  <dcterms:modified xsi:type="dcterms:W3CDTF">2024-07-30T11:25:00Z</dcterms:modified>
</cp:coreProperties>
</file>