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CF16E" w14:textId="2B1E7F12" w:rsidR="00E3399F" w:rsidRPr="00E3399F" w:rsidRDefault="00E3399F" w:rsidP="00DA1A63">
      <w:pPr>
        <w:pStyle w:val="Geenafstand"/>
        <w:rPr>
          <w:b/>
        </w:rPr>
      </w:pPr>
      <w:bookmarkStart w:id="0" w:name="_GoBack"/>
      <w:bookmarkEnd w:id="0"/>
      <w:r w:rsidRPr="00E3399F">
        <w:rPr>
          <w:b/>
        </w:rPr>
        <w:t xml:space="preserve">Appendix to </w:t>
      </w:r>
      <w:r>
        <w:rPr>
          <w:b/>
        </w:rPr>
        <w:t xml:space="preserve">the </w:t>
      </w:r>
      <w:r w:rsidRPr="00E3399F">
        <w:rPr>
          <w:b/>
        </w:rPr>
        <w:t>fact</w:t>
      </w:r>
      <w:r>
        <w:rPr>
          <w:b/>
        </w:rPr>
        <w:t xml:space="preserve"> </w:t>
      </w:r>
      <w:r w:rsidRPr="00E3399F">
        <w:rPr>
          <w:b/>
        </w:rPr>
        <w:t>sheet Development of the scientific research profile of the Netherlands - Development</w:t>
      </w:r>
      <w:r>
        <w:rPr>
          <w:b/>
        </w:rPr>
        <w:t>s</w:t>
      </w:r>
      <w:r w:rsidRPr="00E3399F">
        <w:rPr>
          <w:b/>
        </w:rPr>
        <w:t xml:space="preserve"> of </w:t>
      </w:r>
      <w:r>
        <w:rPr>
          <w:b/>
        </w:rPr>
        <w:t xml:space="preserve">scientific </w:t>
      </w:r>
      <w:r w:rsidRPr="00E3399F">
        <w:rPr>
          <w:b/>
        </w:rPr>
        <w:t>disciplines</w:t>
      </w:r>
    </w:p>
    <w:p w14:paraId="06F8E2C2" w14:textId="7962C47D" w:rsidR="00F65D75" w:rsidRDefault="00F65D75" w:rsidP="00DA1A63">
      <w:pPr>
        <w:pStyle w:val="Geenafstand"/>
        <w:rPr>
          <w:lang w:val="nl-NL"/>
        </w:rPr>
      </w:pPr>
    </w:p>
    <w:p w14:paraId="5D18D815" w14:textId="11B623E5" w:rsidR="00E3399F" w:rsidRPr="00E3399F" w:rsidRDefault="00E3399F" w:rsidP="00DA1A63">
      <w:pPr>
        <w:pStyle w:val="Geenafstand"/>
      </w:pPr>
      <w:r w:rsidRPr="00E3399F">
        <w:t xml:space="preserve">Some </w:t>
      </w:r>
      <w:r>
        <w:t>fields</w:t>
      </w:r>
      <w:r w:rsidRPr="00E3399F">
        <w:t xml:space="preserve"> of science include many different </w:t>
      </w:r>
      <w:r>
        <w:t xml:space="preserve">scientific </w:t>
      </w:r>
      <w:r w:rsidRPr="00E3399F">
        <w:t xml:space="preserve">disciplines. In order to be able to say something at a more detailed level, data was also </w:t>
      </w:r>
      <w:r>
        <w:t>generated</w:t>
      </w:r>
      <w:r w:rsidRPr="00E3399F">
        <w:t xml:space="preserve"> f</w:t>
      </w:r>
      <w:r>
        <w:t>or</w:t>
      </w:r>
      <w:r w:rsidRPr="00E3399F">
        <w:t xml:space="preserve"> the </w:t>
      </w:r>
      <w:r>
        <w:t xml:space="preserve">scientific </w:t>
      </w:r>
      <w:r w:rsidRPr="00E3399F">
        <w:t xml:space="preserve">disciplines. These disciplines cannot be translated into the </w:t>
      </w:r>
      <w:r>
        <w:t>fields of science</w:t>
      </w:r>
      <w:r w:rsidRPr="00E3399F">
        <w:t>, but they do provide a more detailed picture of the Dutch research landscape.</w:t>
      </w:r>
    </w:p>
    <w:p w14:paraId="63D886F7" w14:textId="6286D6CE" w:rsidR="00BE30AB" w:rsidRDefault="00BE30AB" w:rsidP="00DA1A63">
      <w:pPr>
        <w:pStyle w:val="Geenafstand"/>
        <w:rPr>
          <w:lang w:val="nl-NL"/>
        </w:rPr>
      </w:pPr>
    </w:p>
    <w:p w14:paraId="69EB7BC5" w14:textId="2B511004" w:rsidR="00842AB4" w:rsidRDefault="00842AB4" w:rsidP="00DA1A63">
      <w:pPr>
        <w:pStyle w:val="Geenafstand"/>
      </w:pPr>
      <w:r w:rsidRPr="00842AB4">
        <w:t xml:space="preserve">The figure below shows the citation impact score for each </w:t>
      </w:r>
      <w:r>
        <w:t xml:space="preserve">scientific </w:t>
      </w:r>
      <w:r w:rsidRPr="00842AB4">
        <w:t xml:space="preserve">discipline for 2016. Furthermore, a bullet point indicates what the score was in 2003. We see that the Netherlands is doing very well. For almost all disciplines, the value is (well) above 1.0 (the global average). Only </w:t>
      </w:r>
      <w:proofErr w:type="spellStart"/>
      <w:r w:rsidRPr="00842AB4">
        <w:t>Maths</w:t>
      </w:r>
      <w:proofErr w:type="spellEnd"/>
      <w:r w:rsidRPr="00842AB4">
        <w:t xml:space="preserve"> and Instruments and instruments score just below the world average. </w:t>
      </w:r>
      <w:r>
        <w:t>Both score in around 1.2 in the past</w:t>
      </w:r>
      <w:r w:rsidRPr="00842AB4">
        <w:t>, but in recent years the citation impact score has been around 1.0.</w:t>
      </w:r>
    </w:p>
    <w:p w14:paraId="59A2FC06" w14:textId="77777777" w:rsidR="00842AB4" w:rsidRPr="00842AB4" w:rsidRDefault="00842AB4" w:rsidP="00DA1A63">
      <w:pPr>
        <w:pStyle w:val="Geenafstand"/>
      </w:pPr>
    </w:p>
    <w:p w14:paraId="1EBAD97F" w14:textId="00627216" w:rsidR="00D93582" w:rsidRDefault="00842AB4" w:rsidP="00DA1A63">
      <w:pPr>
        <w:pStyle w:val="Geenafstand"/>
      </w:pPr>
      <w:r w:rsidRPr="00842AB4">
        <w:t xml:space="preserve">The figure shows that the citation impact score increases or remains approximately the same for </w:t>
      </w:r>
      <w:r>
        <w:t>the "medical" and "gamma" sciences</w:t>
      </w:r>
      <w:r w:rsidRPr="00842AB4">
        <w:t xml:space="preserve">. </w:t>
      </w:r>
      <w:r>
        <w:t xml:space="preserve">Exception is </w:t>
      </w:r>
      <w:r w:rsidRPr="00842AB4">
        <w:t>basic medical sciences, which fall slightly. In the "</w:t>
      </w:r>
      <w:r>
        <w:t xml:space="preserve">natural </w:t>
      </w:r>
      <w:r w:rsidRPr="00842AB4">
        <w:t>science</w:t>
      </w:r>
      <w:r>
        <w:t>s</w:t>
      </w:r>
      <w:r w:rsidRPr="00842AB4">
        <w:t>" we see a more mixed picture. There are four disciplines where the citation impact score has fallen by more than 10%: Computer Sciences, Electrical Engineering, Mathematics and Instruments and instruments.</w:t>
      </w:r>
    </w:p>
    <w:p w14:paraId="5BBF753B" w14:textId="1B1E3C21" w:rsidR="00623DEA" w:rsidRDefault="00623DEA" w:rsidP="00DA1A63">
      <w:pPr>
        <w:pStyle w:val="Geenafstand"/>
      </w:pPr>
    </w:p>
    <w:p w14:paraId="7B85F871" w14:textId="71F57A01" w:rsidR="00623DEA" w:rsidRDefault="00623DEA" w:rsidP="00DA1A63">
      <w:pPr>
        <w:pStyle w:val="Geenafstand"/>
      </w:pPr>
      <w:r>
        <w:rPr>
          <w:noProof/>
          <w:lang w:val="nl-NL" w:eastAsia="nl-NL"/>
        </w:rPr>
        <w:drawing>
          <wp:anchor distT="0" distB="0" distL="114300" distR="114300" simplePos="0" relativeHeight="251729920" behindDoc="0" locked="0" layoutInCell="1" allowOverlap="1" wp14:anchorId="6A21B19B" wp14:editId="0A1EE83A">
            <wp:simplePos x="0" y="0"/>
            <wp:positionH relativeFrom="column">
              <wp:posOffset>0</wp:posOffset>
            </wp:positionH>
            <wp:positionV relativeFrom="paragraph">
              <wp:posOffset>146050</wp:posOffset>
            </wp:positionV>
            <wp:extent cx="5732145" cy="5467350"/>
            <wp:effectExtent l="0" t="0" r="1905" b="0"/>
            <wp:wrapTopAndBottom/>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71C74C91" w14:textId="0830B9FB" w:rsidR="00AB7575" w:rsidRDefault="00AB7575" w:rsidP="00DA1A63">
      <w:pPr>
        <w:pStyle w:val="Geenafstand"/>
        <w:rPr>
          <w:lang w:val="nl-NL"/>
        </w:rPr>
      </w:pPr>
    </w:p>
    <w:p w14:paraId="7EDABF21" w14:textId="2291E4F6" w:rsidR="00187043" w:rsidRPr="00187043" w:rsidRDefault="00187043" w:rsidP="00BF63A1">
      <w:pPr>
        <w:pStyle w:val="Geenafstand"/>
        <w:rPr>
          <w:lang w:val="nl-NL"/>
        </w:rPr>
      </w:pPr>
    </w:p>
    <w:p w14:paraId="520BE154" w14:textId="287FE57D" w:rsidR="00ED2718" w:rsidRPr="006B7AFC" w:rsidRDefault="00ED2718" w:rsidP="00ED2718">
      <w:pPr>
        <w:pStyle w:val="Geenafstand"/>
      </w:pPr>
      <w:r w:rsidRPr="00ED2718">
        <w:lastRenderedPageBreak/>
        <w:t>The figure below shows the increase</w:t>
      </w:r>
      <w:r w:rsidR="00E272D1">
        <w:t xml:space="preserve"> (in percentages)</w:t>
      </w:r>
      <w:r w:rsidRPr="00ED2718">
        <w:t xml:space="preserve"> in the number of publications per discipline over the period 2003-2016. </w:t>
      </w:r>
      <w:r w:rsidR="00E272D1">
        <w:t>One</w:t>
      </w:r>
      <w:r w:rsidRPr="00ED2718">
        <w:t xml:space="preserve"> can see that there is a large variety. Where Political Sciences has increased by more than 300%, the percentage for Computer Sciences has fallen slightly (-8%). The figure also shows the </w:t>
      </w:r>
      <w:r w:rsidR="00E272D1">
        <w:t xml:space="preserve">average </w:t>
      </w:r>
      <w:r w:rsidRPr="00ED2718">
        <w:t xml:space="preserve">increase </w:t>
      </w:r>
      <w:r w:rsidR="00E272D1">
        <w:t>of</w:t>
      </w:r>
      <w:r w:rsidRPr="00ED2718">
        <w:t xml:space="preserve"> the reference countries </w:t>
      </w:r>
      <w:r w:rsidR="00E272D1">
        <w:t>in</w:t>
      </w:r>
      <w:r w:rsidRPr="00ED2718">
        <w:t xml:space="preserve"> and </w:t>
      </w:r>
      <w:r w:rsidR="00E272D1">
        <w:t>excluding</w:t>
      </w:r>
      <w:r w:rsidRPr="00ED2718">
        <w:t xml:space="preserve"> China</w:t>
      </w:r>
      <w:r w:rsidR="00E272D1">
        <w:t xml:space="preserve"> </w:t>
      </w:r>
      <w:r w:rsidR="00E272D1" w:rsidRPr="00E272D1">
        <w:t>(in percentages)</w:t>
      </w:r>
      <w:r w:rsidRPr="00E272D1">
        <w:t>.</w:t>
      </w:r>
      <w:r w:rsidRPr="00ED2718">
        <w:t xml:space="preserve"> Then we see that the rise in Political Sciences is indeed striking and that the fall in Computer Science fits with the </w:t>
      </w:r>
      <w:r w:rsidR="00E272D1">
        <w:t>developments</w:t>
      </w:r>
      <w:r w:rsidRPr="00ED2718">
        <w:t xml:space="preserve"> </w:t>
      </w:r>
      <w:r w:rsidR="00E272D1">
        <w:t>in</w:t>
      </w:r>
      <w:r w:rsidRPr="00ED2718">
        <w:t xml:space="preserve"> the reference countries. A possible explanation could be that in </w:t>
      </w:r>
      <w:r w:rsidR="003D6A5C">
        <w:t>C</w:t>
      </w:r>
      <w:r w:rsidRPr="00ED2718">
        <w:t xml:space="preserve">omputer </w:t>
      </w:r>
      <w:r w:rsidR="003D6A5C">
        <w:t>S</w:t>
      </w:r>
      <w:r w:rsidRPr="00ED2718">
        <w:t xml:space="preserve">ciences "conference proceedings" is an important publication channel, which is not included in our data selection. Political Sciences </w:t>
      </w:r>
      <w:r w:rsidR="00E272D1">
        <w:t>and</w:t>
      </w:r>
      <w:r w:rsidRPr="00ED2718">
        <w:t xml:space="preserve"> Educational Sciences</w:t>
      </w:r>
      <w:r w:rsidR="00A53A3B">
        <w:t xml:space="preserve"> are striking</w:t>
      </w:r>
      <w:r w:rsidRPr="00ED2718">
        <w:t>. The</w:t>
      </w:r>
      <w:r w:rsidR="00A53A3B">
        <w:t>y</w:t>
      </w:r>
      <w:r w:rsidRPr="00ED2718">
        <w:t xml:space="preserve"> have risen 223</w:t>
      </w:r>
      <w:r w:rsidRPr="006B7AFC">
        <w:t>% and 175% more than the reference countries, excluding China.</w:t>
      </w:r>
    </w:p>
    <w:p w14:paraId="5BCCCB6E" w14:textId="47BDE11D" w:rsidR="00ED2718" w:rsidRPr="00ED2718" w:rsidRDefault="00ED2718" w:rsidP="00ED2718">
      <w:pPr>
        <w:pStyle w:val="Geenafstand"/>
      </w:pPr>
      <w:r w:rsidRPr="006B7AFC">
        <w:t xml:space="preserve">What is further noticeable in the picture is that, particularly in the </w:t>
      </w:r>
      <w:r w:rsidR="00E272D1" w:rsidRPr="006B7AFC">
        <w:t xml:space="preserve">disciplines in </w:t>
      </w:r>
      <w:r w:rsidRPr="006B7AFC">
        <w:t>“</w:t>
      </w:r>
      <w:r w:rsidR="00E272D1" w:rsidRPr="006B7AFC">
        <w:t xml:space="preserve">natural </w:t>
      </w:r>
      <w:r w:rsidRPr="006B7AFC">
        <w:t>science</w:t>
      </w:r>
      <w:r w:rsidR="00E272D1" w:rsidRPr="006B7AFC">
        <w:t>s” and “engineering”</w:t>
      </w:r>
      <w:r w:rsidRPr="006B7AFC">
        <w:t xml:space="preserve"> the Netherlands is rising less rapidly than the reference countries, even if China is </w:t>
      </w:r>
      <w:r w:rsidR="00E272D1" w:rsidRPr="006B7AFC">
        <w:t>excluded</w:t>
      </w:r>
      <w:r w:rsidRPr="006B7AFC">
        <w:t xml:space="preserve">. We see the most striking differences in Fundamental Medical Sciences, Mathematics and Statistics, which </w:t>
      </w:r>
      <w:r w:rsidR="006B7AFC" w:rsidRPr="006B7AFC">
        <w:t xml:space="preserve">respectively </w:t>
      </w:r>
      <w:r w:rsidRPr="006B7AFC">
        <w:t>rose 41, 34 and 30 percentage points less than the reference countries, excluding China.</w:t>
      </w:r>
    </w:p>
    <w:p w14:paraId="20067618" w14:textId="131BE11A" w:rsidR="006C71E0" w:rsidRDefault="00B907A4" w:rsidP="00DA1A63">
      <w:pPr>
        <w:pStyle w:val="Geenafstand"/>
        <w:rPr>
          <w:noProof/>
          <w:lang w:val="nl-NL" w:eastAsia="nl-NL"/>
        </w:rPr>
      </w:pPr>
      <w:r>
        <w:rPr>
          <w:noProof/>
          <w:lang w:val="nl-NL" w:eastAsia="nl-NL"/>
        </w:rPr>
        <w:drawing>
          <wp:anchor distT="0" distB="0" distL="114300" distR="114300" simplePos="0" relativeHeight="251731968" behindDoc="0" locked="0" layoutInCell="1" allowOverlap="1" wp14:anchorId="163733D5" wp14:editId="7E2174B2">
            <wp:simplePos x="0" y="0"/>
            <wp:positionH relativeFrom="column">
              <wp:posOffset>0</wp:posOffset>
            </wp:positionH>
            <wp:positionV relativeFrom="paragraph">
              <wp:posOffset>288925</wp:posOffset>
            </wp:positionV>
            <wp:extent cx="5732145" cy="6448425"/>
            <wp:effectExtent l="0" t="0" r="1905" b="9525"/>
            <wp:wrapTopAndBottom/>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sectPr w:rsidR="006C71E0" w:rsidSect="00051406">
      <w:footerReference w:type="default" r:id="rId10"/>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39C70" w14:textId="77777777" w:rsidR="009F7694" w:rsidRDefault="009F7694" w:rsidP="00294C6F">
      <w:pPr>
        <w:spacing w:after="0" w:line="240" w:lineRule="auto"/>
      </w:pPr>
      <w:r>
        <w:separator/>
      </w:r>
    </w:p>
  </w:endnote>
  <w:endnote w:type="continuationSeparator" w:id="0">
    <w:p w14:paraId="6A7A5449" w14:textId="77777777" w:rsidR="009F7694" w:rsidRDefault="009F7694" w:rsidP="0029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068993"/>
      <w:docPartObj>
        <w:docPartGallery w:val="Page Numbers (Bottom of Page)"/>
        <w:docPartUnique/>
      </w:docPartObj>
    </w:sdtPr>
    <w:sdtEndPr/>
    <w:sdtContent>
      <w:p w14:paraId="2CB6A2FD" w14:textId="39A8EA69" w:rsidR="009F7694" w:rsidRDefault="009F7694">
        <w:pPr>
          <w:pStyle w:val="Voettekst"/>
          <w:jc w:val="right"/>
        </w:pPr>
        <w:r>
          <w:fldChar w:fldCharType="begin"/>
        </w:r>
        <w:r>
          <w:instrText>PAGE   \* MERGEFORMAT</w:instrText>
        </w:r>
        <w:r>
          <w:fldChar w:fldCharType="separate"/>
        </w:r>
        <w:r w:rsidR="00E13ED8" w:rsidRPr="00E13ED8">
          <w:rPr>
            <w:noProof/>
            <w:lang w:val="nl-NL"/>
          </w:rPr>
          <w:t>1</w:t>
        </w:r>
        <w:r>
          <w:fldChar w:fldCharType="end"/>
        </w:r>
      </w:p>
    </w:sdtContent>
  </w:sdt>
  <w:p w14:paraId="32F93CA5" w14:textId="77777777" w:rsidR="009F7694" w:rsidRDefault="009F76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13471" w14:textId="77777777" w:rsidR="009F7694" w:rsidRDefault="009F7694" w:rsidP="00294C6F">
      <w:pPr>
        <w:spacing w:after="0" w:line="240" w:lineRule="auto"/>
      </w:pPr>
      <w:r>
        <w:separator/>
      </w:r>
    </w:p>
  </w:footnote>
  <w:footnote w:type="continuationSeparator" w:id="0">
    <w:p w14:paraId="41992275" w14:textId="77777777" w:rsidR="009F7694" w:rsidRDefault="009F7694" w:rsidP="00294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22137"/>
    <w:multiLevelType w:val="hybridMultilevel"/>
    <w:tmpl w:val="EFD21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F2D24A9"/>
    <w:multiLevelType w:val="hybridMultilevel"/>
    <w:tmpl w:val="A56CC9F2"/>
    <w:lvl w:ilvl="0" w:tplc="8A623D7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nl-NL" w:vendorID="64" w:dllVersion="131078" w:nlCheck="1" w:checkStyle="0"/>
  <w:proofState w:spelling="clean"/>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63"/>
    <w:rsid w:val="00004043"/>
    <w:rsid w:val="0000789C"/>
    <w:rsid w:val="000146AD"/>
    <w:rsid w:val="000358F0"/>
    <w:rsid w:val="0005090C"/>
    <w:rsid w:val="00051406"/>
    <w:rsid w:val="000573A2"/>
    <w:rsid w:val="00057D3B"/>
    <w:rsid w:val="00064693"/>
    <w:rsid w:val="0007059F"/>
    <w:rsid w:val="000956C3"/>
    <w:rsid w:val="000A55E0"/>
    <w:rsid w:val="000A7A77"/>
    <w:rsid w:val="000B2690"/>
    <w:rsid w:val="000B36A9"/>
    <w:rsid w:val="000C452B"/>
    <w:rsid w:val="000C5DBC"/>
    <w:rsid w:val="000C66BC"/>
    <w:rsid w:val="000C6B22"/>
    <w:rsid w:val="000C73C3"/>
    <w:rsid w:val="000D57B3"/>
    <w:rsid w:val="000E74EB"/>
    <w:rsid w:val="000F6E76"/>
    <w:rsid w:val="00107AB1"/>
    <w:rsid w:val="001219D6"/>
    <w:rsid w:val="00127B24"/>
    <w:rsid w:val="001304E1"/>
    <w:rsid w:val="001332E4"/>
    <w:rsid w:val="00135D8D"/>
    <w:rsid w:val="001370DE"/>
    <w:rsid w:val="0014071C"/>
    <w:rsid w:val="00142220"/>
    <w:rsid w:val="00152E19"/>
    <w:rsid w:val="001534FE"/>
    <w:rsid w:val="00156AE6"/>
    <w:rsid w:val="001600A2"/>
    <w:rsid w:val="001639EE"/>
    <w:rsid w:val="0016566E"/>
    <w:rsid w:val="001659E6"/>
    <w:rsid w:val="00167D21"/>
    <w:rsid w:val="00187043"/>
    <w:rsid w:val="00187B79"/>
    <w:rsid w:val="00196273"/>
    <w:rsid w:val="0019703A"/>
    <w:rsid w:val="001A0455"/>
    <w:rsid w:val="001A39A0"/>
    <w:rsid w:val="001A6D05"/>
    <w:rsid w:val="001B33ED"/>
    <w:rsid w:val="001B6AC5"/>
    <w:rsid w:val="001C50BA"/>
    <w:rsid w:val="001D2C64"/>
    <w:rsid w:val="001D3D7E"/>
    <w:rsid w:val="001D3DE8"/>
    <w:rsid w:val="001E1DB3"/>
    <w:rsid w:val="001F1092"/>
    <w:rsid w:val="001F1F4B"/>
    <w:rsid w:val="001F2E1F"/>
    <w:rsid w:val="001F39B0"/>
    <w:rsid w:val="001F476F"/>
    <w:rsid w:val="0020323C"/>
    <w:rsid w:val="00211C3B"/>
    <w:rsid w:val="00220EB5"/>
    <w:rsid w:val="00223DB4"/>
    <w:rsid w:val="00230372"/>
    <w:rsid w:val="002362F6"/>
    <w:rsid w:val="002403EB"/>
    <w:rsid w:val="00241513"/>
    <w:rsid w:val="00241F82"/>
    <w:rsid w:val="00243799"/>
    <w:rsid w:val="00243F52"/>
    <w:rsid w:val="00245E18"/>
    <w:rsid w:val="00246E06"/>
    <w:rsid w:val="002530E5"/>
    <w:rsid w:val="00253D4A"/>
    <w:rsid w:val="00261310"/>
    <w:rsid w:val="00264F44"/>
    <w:rsid w:val="0026635E"/>
    <w:rsid w:val="00272891"/>
    <w:rsid w:val="00273CE6"/>
    <w:rsid w:val="002741DE"/>
    <w:rsid w:val="002802BE"/>
    <w:rsid w:val="00281546"/>
    <w:rsid w:val="00282AA1"/>
    <w:rsid w:val="00282DEF"/>
    <w:rsid w:val="002851C2"/>
    <w:rsid w:val="00285627"/>
    <w:rsid w:val="00285DA6"/>
    <w:rsid w:val="002865D6"/>
    <w:rsid w:val="00287E2A"/>
    <w:rsid w:val="002905C8"/>
    <w:rsid w:val="00291772"/>
    <w:rsid w:val="00294C6F"/>
    <w:rsid w:val="0029763F"/>
    <w:rsid w:val="002A64DE"/>
    <w:rsid w:val="002B0012"/>
    <w:rsid w:val="002B084D"/>
    <w:rsid w:val="002B094A"/>
    <w:rsid w:val="002B12FB"/>
    <w:rsid w:val="002B47D6"/>
    <w:rsid w:val="002B5FC3"/>
    <w:rsid w:val="002C7E58"/>
    <w:rsid w:val="002D5978"/>
    <w:rsid w:val="002D7401"/>
    <w:rsid w:val="002E20F5"/>
    <w:rsid w:val="002E3A51"/>
    <w:rsid w:val="002F5320"/>
    <w:rsid w:val="0030289D"/>
    <w:rsid w:val="0031380B"/>
    <w:rsid w:val="003209CB"/>
    <w:rsid w:val="003225BC"/>
    <w:rsid w:val="003241A9"/>
    <w:rsid w:val="00340302"/>
    <w:rsid w:val="003436A2"/>
    <w:rsid w:val="003439A7"/>
    <w:rsid w:val="00347405"/>
    <w:rsid w:val="00350FE5"/>
    <w:rsid w:val="00352013"/>
    <w:rsid w:val="00354926"/>
    <w:rsid w:val="00355977"/>
    <w:rsid w:val="003562E6"/>
    <w:rsid w:val="0035722F"/>
    <w:rsid w:val="00360D4B"/>
    <w:rsid w:val="003672A5"/>
    <w:rsid w:val="003725B0"/>
    <w:rsid w:val="003729B7"/>
    <w:rsid w:val="0037469B"/>
    <w:rsid w:val="0037563F"/>
    <w:rsid w:val="0038307E"/>
    <w:rsid w:val="00383E62"/>
    <w:rsid w:val="00384094"/>
    <w:rsid w:val="00385001"/>
    <w:rsid w:val="00385231"/>
    <w:rsid w:val="00386A09"/>
    <w:rsid w:val="00394ECD"/>
    <w:rsid w:val="00396382"/>
    <w:rsid w:val="00397F00"/>
    <w:rsid w:val="003A2D0D"/>
    <w:rsid w:val="003A3DFA"/>
    <w:rsid w:val="003A40EF"/>
    <w:rsid w:val="003A52CC"/>
    <w:rsid w:val="003A6176"/>
    <w:rsid w:val="003C2229"/>
    <w:rsid w:val="003C67AD"/>
    <w:rsid w:val="003D0794"/>
    <w:rsid w:val="003D6453"/>
    <w:rsid w:val="003D6A5C"/>
    <w:rsid w:val="003E7E13"/>
    <w:rsid w:val="003F0D92"/>
    <w:rsid w:val="003F63ED"/>
    <w:rsid w:val="00405471"/>
    <w:rsid w:val="00416F3F"/>
    <w:rsid w:val="004173A7"/>
    <w:rsid w:val="00422348"/>
    <w:rsid w:val="00433E2E"/>
    <w:rsid w:val="0044077F"/>
    <w:rsid w:val="00440B81"/>
    <w:rsid w:val="00454C9A"/>
    <w:rsid w:val="0046352E"/>
    <w:rsid w:val="0046464E"/>
    <w:rsid w:val="00465253"/>
    <w:rsid w:val="00465CD6"/>
    <w:rsid w:val="00466AB7"/>
    <w:rsid w:val="004751F8"/>
    <w:rsid w:val="0048107D"/>
    <w:rsid w:val="0049117F"/>
    <w:rsid w:val="00495E3D"/>
    <w:rsid w:val="004B3E5F"/>
    <w:rsid w:val="004B75C3"/>
    <w:rsid w:val="004F1CA9"/>
    <w:rsid w:val="004F4820"/>
    <w:rsid w:val="005060AB"/>
    <w:rsid w:val="00522277"/>
    <w:rsid w:val="00525709"/>
    <w:rsid w:val="005331CD"/>
    <w:rsid w:val="00534638"/>
    <w:rsid w:val="00537BCF"/>
    <w:rsid w:val="005529CB"/>
    <w:rsid w:val="0055450F"/>
    <w:rsid w:val="005557F0"/>
    <w:rsid w:val="005718C3"/>
    <w:rsid w:val="00575D34"/>
    <w:rsid w:val="00582C7A"/>
    <w:rsid w:val="00586D48"/>
    <w:rsid w:val="00590831"/>
    <w:rsid w:val="005949F7"/>
    <w:rsid w:val="005967E8"/>
    <w:rsid w:val="00596EE7"/>
    <w:rsid w:val="00597CDE"/>
    <w:rsid w:val="005A04B9"/>
    <w:rsid w:val="005A63E1"/>
    <w:rsid w:val="005A655F"/>
    <w:rsid w:val="005C26E4"/>
    <w:rsid w:val="005C299F"/>
    <w:rsid w:val="005C30B8"/>
    <w:rsid w:val="005D1280"/>
    <w:rsid w:val="005D5F7E"/>
    <w:rsid w:val="005E0317"/>
    <w:rsid w:val="005E599B"/>
    <w:rsid w:val="005E630F"/>
    <w:rsid w:val="005F119C"/>
    <w:rsid w:val="005F1B10"/>
    <w:rsid w:val="005F2A3F"/>
    <w:rsid w:val="005F54FC"/>
    <w:rsid w:val="005F56DD"/>
    <w:rsid w:val="006028EC"/>
    <w:rsid w:val="00602B61"/>
    <w:rsid w:val="00605000"/>
    <w:rsid w:val="00611B2A"/>
    <w:rsid w:val="00613269"/>
    <w:rsid w:val="006135C6"/>
    <w:rsid w:val="0061705D"/>
    <w:rsid w:val="006217A1"/>
    <w:rsid w:val="00623DEA"/>
    <w:rsid w:val="0062489E"/>
    <w:rsid w:val="00631C23"/>
    <w:rsid w:val="00634D66"/>
    <w:rsid w:val="006407D0"/>
    <w:rsid w:val="00646B83"/>
    <w:rsid w:val="00663AD9"/>
    <w:rsid w:val="006715C2"/>
    <w:rsid w:val="006728FD"/>
    <w:rsid w:val="00674A04"/>
    <w:rsid w:val="00680DD9"/>
    <w:rsid w:val="00682351"/>
    <w:rsid w:val="006827D7"/>
    <w:rsid w:val="00687427"/>
    <w:rsid w:val="00687491"/>
    <w:rsid w:val="006878B1"/>
    <w:rsid w:val="00687AC1"/>
    <w:rsid w:val="00693C40"/>
    <w:rsid w:val="00694178"/>
    <w:rsid w:val="00697112"/>
    <w:rsid w:val="0069792D"/>
    <w:rsid w:val="006B0286"/>
    <w:rsid w:val="006B0691"/>
    <w:rsid w:val="006B7AFC"/>
    <w:rsid w:val="006C0457"/>
    <w:rsid w:val="006C1462"/>
    <w:rsid w:val="006C36B9"/>
    <w:rsid w:val="006C641C"/>
    <w:rsid w:val="006C71E0"/>
    <w:rsid w:val="006D006D"/>
    <w:rsid w:val="006D0D9C"/>
    <w:rsid w:val="006D47D4"/>
    <w:rsid w:val="006E2B61"/>
    <w:rsid w:val="006E51F0"/>
    <w:rsid w:val="0070102B"/>
    <w:rsid w:val="00704055"/>
    <w:rsid w:val="00717A0E"/>
    <w:rsid w:val="00717FF9"/>
    <w:rsid w:val="007211A5"/>
    <w:rsid w:val="007214EE"/>
    <w:rsid w:val="00734EB3"/>
    <w:rsid w:val="007410FD"/>
    <w:rsid w:val="00743113"/>
    <w:rsid w:val="0074378A"/>
    <w:rsid w:val="007539E1"/>
    <w:rsid w:val="00756FB7"/>
    <w:rsid w:val="0075772F"/>
    <w:rsid w:val="0076049A"/>
    <w:rsid w:val="0076383F"/>
    <w:rsid w:val="00764EF1"/>
    <w:rsid w:val="00765296"/>
    <w:rsid w:val="007743D8"/>
    <w:rsid w:val="007802D5"/>
    <w:rsid w:val="00780612"/>
    <w:rsid w:val="007812E5"/>
    <w:rsid w:val="0079498E"/>
    <w:rsid w:val="00795DF4"/>
    <w:rsid w:val="007A4F07"/>
    <w:rsid w:val="007B594C"/>
    <w:rsid w:val="007C6D23"/>
    <w:rsid w:val="007E1A66"/>
    <w:rsid w:val="007E317E"/>
    <w:rsid w:val="008020D3"/>
    <w:rsid w:val="00805C8C"/>
    <w:rsid w:val="00810E44"/>
    <w:rsid w:val="008178D3"/>
    <w:rsid w:val="008276AC"/>
    <w:rsid w:val="00837E0F"/>
    <w:rsid w:val="00842AB4"/>
    <w:rsid w:val="008432F1"/>
    <w:rsid w:val="00846A54"/>
    <w:rsid w:val="00851EA6"/>
    <w:rsid w:val="00860373"/>
    <w:rsid w:val="00860ACB"/>
    <w:rsid w:val="00860F33"/>
    <w:rsid w:val="008634D4"/>
    <w:rsid w:val="008676DA"/>
    <w:rsid w:val="008677C0"/>
    <w:rsid w:val="00872E8F"/>
    <w:rsid w:val="00873A6F"/>
    <w:rsid w:val="008853EE"/>
    <w:rsid w:val="008934CE"/>
    <w:rsid w:val="008A02B7"/>
    <w:rsid w:val="008A1432"/>
    <w:rsid w:val="008A1F7A"/>
    <w:rsid w:val="008A754D"/>
    <w:rsid w:val="008B7477"/>
    <w:rsid w:val="008C69D3"/>
    <w:rsid w:val="008D15A5"/>
    <w:rsid w:val="008D3B26"/>
    <w:rsid w:val="008E0927"/>
    <w:rsid w:val="008E0C86"/>
    <w:rsid w:val="008E398F"/>
    <w:rsid w:val="008E65FD"/>
    <w:rsid w:val="009129A0"/>
    <w:rsid w:val="00920EFE"/>
    <w:rsid w:val="0093046A"/>
    <w:rsid w:val="009338AE"/>
    <w:rsid w:val="00940772"/>
    <w:rsid w:val="00943CBC"/>
    <w:rsid w:val="00951630"/>
    <w:rsid w:val="00953FC6"/>
    <w:rsid w:val="0095653B"/>
    <w:rsid w:val="00962EED"/>
    <w:rsid w:val="00965347"/>
    <w:rsid w:val="009666E6"/>
    <w:rsid w:val="0096759F"/>
    <w:rsid w:val="00981552"/>
    <w:rsid w:val="00985671"/>
    <w:rsid w:val="00985DA2"/>
    <w:rsid w:val="009952EC"/>
    <w:rsid w:val="009967E5"/>
    <w:rsid w:val="00996E41"/>
    <w:rsid w:val="009A1B67"/>
    <w:rsid w:val="009A7E5D"/>
    <w:rsid w:val="009B3400"/>
    <w:rsid w:val="009B581B"/>
    <w:rsid w:val="009D2594"/>
    <w:rsid w:val="009E2EFB"/>
    <w:rsid w:val="009E70DC"/>
    <w:rsid w:val="009E7AD6"/>
    <w:rsid w:val="009F1446"/>
    <w:rsid w:val="009F3040"/>
    <w:rsid w:val="009F7694"/>
    <w:rsid w:val="00A00440"/>
    <w:rsid w:val="00A01A4A"/>
    <w:rsid w:val="00A01BFB"/>
    <w:rsid w:val="00A2105F"/>
    <w:rsid w:val="00A3151D"/>
    <w:rsid w:val="00A462CA"/>
    <w:rsid w:val="00A53A3B"/>
    <w:rsid w:val="00A64562"/>
    <w:rsid w:val="00A725F9"/>
    <w:rsid w:val="00A76463"/>
    <w:rsid w:val="00A77847"/>
    <w:rsid w:val="00A7787A"/>
    <w:rsid w:val="00A8093E"/>
    <w:rsid w:val="00A81320"/>
    <w:rsid w:val="00A82DA8"/>
    <w:rsid w:val="00A91EED"/>
    <w:rsid w:val="00A975D5"/>
    <w:rsid w:val="00AA724D"/>
    <w:rsid w:val="00AB41E9"/>
    <w:rsid w:val="00AB7575"/>
    <w:rsid w:val="00AC635E"/>
    <w:rsid w:val="00AE2B94"/>
    <w:rsid w:val="00AF0F2E"/>
    <w:rsid w:val="00AF107F"/>
    <w:rsid w:val="00AF48C2"/>
    <w:rsid w:val="00B04004"/>
    <w:rsid w:val="00B11CDF"/>
    <w:rsid w:val="00B12ECE"/>
    <w:rsid w:val="00B30AB4"/>
    <w:rsid w:val="00B3228D"/>
    <w:rsid w:val="00B3423F"/>
    <w:rsid w:val="00B359AF"/>
    <w:rsid w:val="00B4381A"/>
    <w:rsid w:val="00B43C65"/>
    <w:rsid w:val="00B44677"/>
    <w:rsid w:val="00B51B3C"/>
    <w:rsid w:val="00B5758A"/>
    <w:rsid w:val="00B6250A"/>
    <w:rsid w:val="00B66A72"/>
    <w:rsid w:val="00B723BB"/>
    <w:rsid w:val="00B72811"/>
    <w:rsid w:val="00B750DA"/>
    <w:rsid w:val="00B75D11"/>
    <w:rsid w:val="00B7651E"/>
    <w:rsid w:val="00B81583"/>
    <w:rsid w:val="00B81BC8"/>
    <w:rsid w:val="00B81FBC"/>
    <w:rsid w:val="00B85BEE"/>
    <w:rsid w:val="00B85C86"/>
    <w:rsid w:val="00B907A4"/>
    <w:rsid w:val="00B9090E"/>
    <w:rsid w:val="00B916FC"/>
    <w:rsid w:val="00B95A75"/>
    <w:rsid w:val="00BA22B2"/>
    <w:rsid w:val="00BA5B46"/>
    <w:rsid w:val="00BB4C3E"/>
    <w:rsid w:val="00BC2033"/>
    <w:rsid w:val="00BE15FA"/>
    <w:rsid w:val="00BE16BC"/>
    <w:rsid w:val="00BE30AB"/>
    <w:rsid w:val="00BE39EC"/>
    <w:rsid w:val="00BE51D7"/>
    <w:rsid w:val="00BE5E89"/>
    <w:rsid w:val="00BF2952"/>
    <w:rsid w:val="00BF29BF"/>
    <w:rsid w:val="00BF63A1"/>
    <w:rsid w:val="00C03D99"/>
    <w:rsid w:val="00C07534"/>
    <w:rsid w:val="00C12AD9"/>
    <w:rsid w:val="00C203AE"/>
    <w:rsid w:val="00C33C13"/>
    <w:rsid w:val="00C36376"/>
    <w:rsid w:val="00C36992"/>
    <w:rsid w:val="00C43C46"/>
    <w:rsid w:val="00C45541"/>
    <w:rsid w:val="00C522CB"/>
    <w:rsid w:val="00C56A5B"/>
    <w:rsid w:val="00C60C36"/>
    <w:rsid w:val="00C64EB1"/>
    <w:rsid w:val="00C64EDD"/>
    <w:rsid w:val="00C678E4"/>
    <w:rsid w:val="00C81AEC"/>
    <w:rsid w:val="00C81B74"/>
    <w:rsid w:val="00C84EDA"/>
    <w:rsid w:val="00C85DEE"/>
    <w:rsid w:val="00C9329B"/>
    <w:rsid w:val="00C95366"/>
    <w:rsid w:val="00CA2BD0"/>
    <w:rsid w:val="00CB27E2"/>
    <w:rsid w:val="00CB455A"/>
    <w:rsid w:val="00CB4CFC"/>
    <w:rsid w:val="00CB55EC"/>
    <w:rsid w:val="00CB58D2"/>
    <w:rsid w:val="00CB5A72"/>
    <w:rsid w:val="00CC02A4"/>
    <w:rsid w:val="00CC072D"/>
    <w:rsid w:val="00CC0C8C"/>
    <w:rsid w:val="00CC3F5B"/>
    <w:rsid w:val="00CC5835"/>
    <w:rsid w:val="00CC5861"/>
    <w:rsid w:val="00CD1342"/>
    <w:rsid w:val="00CD1836"/>
    <w:rsid w:val="00CE4306"/>
    <w:rsid w:val="00D13674"/>
    <w:rsid w:val="00D20C65"/>
    <w:rsid w:val="00D24389"/>
    <w:rsid w:val="00D26605"/>
    <w:rsid w:val="00D2732B"/>
    <w:rsid w:val="00D33F49"/>
    <w:rsid w:val="00D35486"/>
    <w:rsid w:val="00D46A8B"/>
    <w:rsid w:val="00D46CB3"/>
    <w:rsid w:val="00D66538"/>
    <w:rsid w:val="00D677D6"/>
    <w:rsid w:val="00D67876"/>
    <w:rsid w:val="00D87A95"/>
    <w:rsid w:val="00D93582"/>
    <w:rsid w:val="00D941CF"/>
    <w:rsid w:val="00D94F89"/>
    <w:rsid w:val="00D973C9"/>
    <w:rsid w:val="00DA1A63"/>
    <w:rsid w:val="00DA323D"/>
    <w:rsid w:val="00DC3FF7"/>
    <w:rsid w:val="00DC4EB5"/>
    <w:rsid w:val="00DC5650"/>
    <w:rsid w:val="00DD563B"/>
    <w:rsid w:val="00DD6173"/>
    <w:rsid w:val="00DE289D"/>
    <w:rsid w:val="00DE5DC5"/>
    <w:rsid w:val="00DE74C1"/>
    <w:rsid w:val="00DE7B41"/>
    <w:rsid w:val="00DF1044"/>
    <w:rsid w:val="00DF2545"/>
    <w:rsid w:val="00DF5C86"/>
    <w:rsid w:val="00E11173"/>
    <w:rsid w:val="00E1398B"/>
    <w:rsid w:val="00E13ED8"/>
    <w:rsid w:val="00E14E0E"/>
    <w:rsid w:val="00E21E67"/>
    <w:rsid w:val="00E272D1"/>
    <w:rsid w:val="00E31B3E"/>
    <w:rsid w:val="00E3399F"/>
    <w:rsid w:val="00E35975"/>
    <w:rsid w:val="00E40807"/>
    <w:rsid w:val="00E45866"/>
    <w:rsid w:val="00E65D18"/>
    <w:rsid w:val="00E6695F"/>
    <w:rsid w:val="00E72D88"/>
    <w:rsid w:val="00E74463"/>
    <w:rsid w:val="00EA2851"/>
    <w:rsid w:val="00EA6192"/>
    <w:rsid w:val="00EB6D50"/>
    <w:rsid w:val="00EC5D85"/>
    <w:rsid w:val="00ED1F77"/>
    <w:rsid w:val="00ED2718"/>
    <w:rsid w:val="00ED4977"/>
    <w:rsid w:val="00ED5FC8"/>
    <w:rsid w:val="00EE4AD3"/>
    <w:rsid w:val="00EF1268"/>
    <w:rsid w:val="00EF23A1"/>
    <w:rsid w:val="00EF3160"/>
    <w:rsid w:val="00EF3722"/>
    <w:rsid w:val="00F0602F"/>
    <w:rsid w:val="00F1302F"/>
    <w:rsid w:val="00F14914"/>
    <w:rsid w:val="00F25C26"/>
    <w:rsid w:val="00F363B6"/>
    <w:rsid w:val="00F36705"/>
    <w:rsid w:val="00F36EB9"/>
    <w:rsid w:val="00F37C38"/>
    <w:rsid w:val="00F40A97"/>
    <w:rsid w:val="00F47FC1"/>
    <w:rsid w:val="00F57E97"/>
    <w:rsid w:val="00F64B44"/>
    <w:rsid w:val="00F65D75"/>
    <w:rsid w:val="00F906E7"/>
    <w:rsid w:val="00F9518E"/>
    <w:rsid w:val="00FA74DB"/>
    <w:rsid w:val="00FC0460"/>
    <w:rsid w:val="00FC1D3B"/>
    <w:rsid w:val="00FC62B2"/>
    <w:rsid w:val="00FD0389"/>
    <w:rsid w:val="00FE5324"/>
    <w:rsid w:val="00FE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B625E"/>
  <w15:chartTrackingRefBased/>
  <w15:docId w15:val="{7E3E3454-CBCD-4D40-BEBF-F421676B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A1A63"/>
    <w:pPr>
      <w:spacing w:after="0" w:line="240" w:lineRule="auto"/>
    </w:pPr>
  </w:style>
  <w:style w:type="paragraph" w:styleId="Voetnoottekst">
    <w:name w:val="footnote text"/>
    <w:basedOn w:val="Standaard"/>
    <w:link w:val="VoetnoottekstChar"/>
    <w:uiPriority w:val="99"/>
    <w:semiHidden/>
    <w:unhideWhenUsed/>
    <w:rsid w:val="00294C6F"/>
    <w:pPr>
      <w:spacing w:after="0" w:line="240" w:lineRule="auto"/>
    </w:pPr>
    <w:rPr>
      <w:szCs w:val="20"/>
    </w:rPr>
  </w:style>
  <w:style w:type="character" w:customStyle="1" w:styleId="VoetnoottekstChar">
    <w:name w:val="Voetnoottekst Char"/>
    <w:basedOn w:val="Standaardalinea-lettertype"/>
    <w:link w:val="Voetnoottekst"/>
    <w:uiPriority w:val="99"/>
    <w:semiHidden/>
    <w:rsid w:val="00294C6F"/>
    <w:rPr>
      <w:szCs w:val="20"/>
    </w:rPr>
  </w:style>
  <w:style w:type="character" w:styleId="Voetnootmarkering">
    <w:name w:val="footnote reference"/>
    <w:basedOn w:val="Standaardalinea-lettertype"/>
    <w:uiPriority w:val="99"/>
    <w:semiHidden/>
    <w:unhideWhenUsed/>
    <w:rsid w:val="00294C6F"/>
    <w:rPr>
      <w:vertAlign w:val="superscript"/>
    </w:rPr>
  </w:style>
  <w:style w:type="character" w:styleId="Hyperlink">
    <w:name w:val="Hyperlink"/>
    <w:basedOn w:val="Standaardalinea-lettertype"/>
    <w:uiPriority w:val="99"/>
    <w:unhideWhenUsed/>
    <w:rsid w:val="00294C6F"/>
    <w:rPr>
      <w:color w:val="0563C1" w:themeColor="hyperlink"/>
      <w:u w:val="single"/>
    </w:rPr>
  </w:style>
  <w:style w:type="character" w:styleId="Verwijzingopmerking">
    <w:name w:val="annotation reference"/>
    <w:basedOn w:val="Standaardalinea-lettertype"/>
    <w:uiPriority w:val="99"/>
    <w:semiHidden/>
    <w:unhideWhenUsed/>
    <w:rsid w:val="00590831"/>
    <w:rPr>
      <w:sz w:val="16"/>
      <w:szCs w:val="16"/>
    </w:rPr>
  </w:style>
  <w:style w:type="paragraph" w:styleId="Tekstopmerking">
    <w:name w:val="annotation text"/>
    <w:basedOn w:val="Standaard"/>
    <w:link w:val="TekstopmerkingChar"/>
    <w:uiPriority w:val="99"/>
    <w:semiHidden/>
    <w:unhideWhenUsed/>
    <w:rsid w:val="00590831"/>
    <w:pPr>
      <w:spacing w:line="240" w:lineRule="auto"/>
    </w:pPr>
    <w:rPr>
      <w:szCs w:val="20"/>
    </w:rPr>
  </w:style>
  <w:style w:type="character" w:customStyle="1" w:styleId="TekstopmerkingChar">
    <w:name w:val="Tekst opmerking Char"/>
    <w:basedOn w:val="Standaardalinea-lettertype"/>
    <w:link w:val="Tekstopmerking"/>
    <w:uiPriority w:val="99"/>
    <w:semiHidden/>
    <w:rsid w:val="00590831"/>
    <w:rPr>
      <w:szCs w:val="20"/>
    </w:rPr>
  </w:style>
  <w:style w:type="paragraph" w:styleId="Onderwerpvanopmerking">
    <w:name w:val="annotation subject"/>
    <w:basedOn w:val="Tekstopmerking"/>
    <w:next w:val="Tekstopmerking"/>
    <w:link w:val="OnderwerpvanopmerkingChar"/>
    <w:uiPriority w:val="99"/>
    <w:semiHidden/>
    <w:unhideWhenUsed/>
    <w:rsid w:val="00590831"/>
    <w:rPr>
      <w:b/>
      <w:bCs/>
    </w:rPr>
  </w:style>
  <w:style w:type="character" w:customStyle="1" w:styleId="OnderwerpvanopmerkingChar">
    <w:name w:val="Onderwerp van opmerking Char"/>
    <w:basedOn w:val="TekstopmerkingChar"/>
    <w:link w:val="Onderwerpvanopmerking"/>
    <w:uiPriority w:val="99"/>
    <w:semiHidden/>
    <w:rsid w:val="00590831"/>
    <w:rPr>
      <w:b/>
      <w:bCs/>
      <w:szCs w:val="20"/>
    </w:rPr>
  </w:style>
  <w:style w:type="paragraph" w:styleId="Ballontekst">
    <w:name w:val="Balloon Text"/>
    <w:basedOn w:val="Standaard"/>
    <w:link w:val="BallontekstChar"/>
    <w:uiPriority w:val="99"/>
    <w:semiHidden/>
    <w:unhideWhenUsed/>
    <w:rsid w:val="005908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90831"/>
    <w:rPr>
      <w:rFonts w:ascii="Segoe UI" w:hAnsi="Segoe UI" w:cs="Segoe UI"/>
      <w:sz w:val="18"/>
      <w:szCs w:val="18"/>
    </w:rPr>
  </w:style>
  <w:style w:type="table" w:styleId="Tabelraster">
    <w:name w:val="Table Grid"/>
    <w:basedOn w:val="Standaardtabel"/>
    <w:uiPriority w:val="39"/>
    <w:rsid w:val="00D66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211A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211A5"/>
  </w:style>
  <w:style w:type="paragraph" w:styleId="Voettekst">
    <w:name w:val="footer"/>
    <w:basedOn w:val="Standaard"/>
    <w:link w:val="VoettekstChar"/>
    <w:uiPriority w:val="99"/>
    <w:unhideWhenUsed/>
    <w:rsid w:val="007211A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211A5"/>
  </w:style>
  <w:style w:type="paragraph" w:customStyle="1" w:styleId="msonormal0">
    <w:name w:val="msonormal"/>
    <w:basedOn w:val="Standaard"/>
    <w:rsid w:val="00C07534"/>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GevolgdeHyperlink">
    <w:name w:val="FollowedHyperlink"/>
    <w:basedOn w:val="Standaardalinea-lettertype"/>
    <w:uiPriority w:val="99"/>
    <w:semiHidden/>
    <w:unhideWhenUsed/>
    <w:rsid w:val="00C07534"/>
    <w:rPr>
      <w:color w:val="800080"/>
      <w:u w:val="single"/>
    </w:rPr>
  </w:style>
  <w:style w:type="paragraph" w:styleId="Normaalweb">
    <w:name w:val="Normal (Web)"/>
    <w:basedOn w:val="Standaard"/>
    <w:uiPriority w:val="99"/>
    <w:semiHidden/>
    <w:unhideWhenUsed/>
    <w:rsid w:val="00C07534"/>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234169">
      <w:bodyDiv w:val="1"/>
      <w:marLeft w:val="0"/>
      <w:marRight w:val="0"/>
      <w:marTop w:val="0"/>
      <w:marBottom w:val="0"/>
      <w:divBdr>
        <w:top w:val="none" w:sz="0" w:space="0" w:color="auto"/>
        <w:left w:val="none" w:sz="0" w:space="0" w:color="auto"/>
        <w:bottom w:val="none" w:sz="0" w:space="0" w:color="auto"/>
        <w:right w:val="none" w:sz="0" w:space="0" w:color="auto"/>
      </w:divBdr>
      <w:divsChild>
        <w:div w:id="1377121077">
          <w:marLeft w:val="0"/>
          <w:marRight w:val="0"/>
          <w:marTop w:val="0"/>
          <w:marBottom w:val="0"/>
          <w:divBdr>
            <w:top w:val="none" w:sz="0" w:space="0" w:color="auto"/>
            <w:left w:val="none" w:sz="0" w:space="0" w:color="auto"/>
            <w:bottom w:val="none" w:sz="0" w:space="0" w:color="auto"/>
            <w:right w:val="none" w:sz="0" w:space="0" w:color="auto"/>
          </w:divBdr>
          <w:divsChild>
            <w:div w:id="1531644651">
              <w:marLeft w:val="0"/>
              <w:marRight w:val="0"/>
              <w:marTop w:val="0"/>
              <w:marBottom w:val="0"/>
              <w:divBdr>
                <w:top w:val="none" w:sz="0" w:space="0" w:color="auto"/>
                <w:left w:val="none" w:sz="0" w:space="0" w:color="auto"/>
                <w:bottom w:val="none" w:sz="0" w:space="0" w:color="auto"/>
                <w:right w:val="none" w:sz="0" w:space="0" w:color="auto"/>
              </w:divBdr>
              <w:divsChild>
                <w:div w:id="1509440989">
                  <w:marLeft w:val="0"/>
                  <w:marRight w:val="0"/>
                  <w:marTop w:val="0"/>
                  <w:marBottom w:val="0"/>
                  <w:divBdr>
                    <w:top w:val="none" w:sz="0" w:space="0" w:color="auto"/>
                    <w:left w:val="none" w:sz="0" w:space="0" w:color="auto"/>
                    <w:bottom w:val="none" w:sz="0" w:space="0" w:color="auto"/>
                    <w:right w:val="none" w:sz="0" w:space="0" w:color="auto"/>
                  </w:divBdr>
                  <w:divsChild>
                    <w:div w:id="105346595">
                      <w:marLeft w:val="0"/>
                      <w:marRight w:val="0"/>
                      <w:marTop w:val="0"/>
                      <w:marBottom w:val="0"/>
                      <w:divBdr>
                        <w:top w:val="none" w:sz="0" w:space="0" w:color="auto"/>
                        <w:left w:val="none" w:sz="0" w:space="0" w:color="auto"/>
                        <w:bottom w:val="none" w:sz="0" w:space="0" w:color="auto"/>
                        <w:right w:val="none" w:sz="0" w:space="0" w:color="auto"/>
                      </w:divBdr>
                      <w:divsChild>
                        <w:div w:id="586572940">
                          <w:marLeft w:val="0"/>
                          <w:marRight w:val="0"/>
                          <w:marTop w:val="0"/>
                          <w:marBottom w:val="0"/>
                          <w:divBdr>
                            <w:top w:val="none" w:sz="0" w:space="0" w:color="auto"/>
                            <w:left w:val="none" w:sz="0" w:space="0" w:color="auto"/>
                            <w:bottom w:val="none" w:sz="0" w:space="0" w:color="auto"/>
                            <w:right w:val="none" w:sz="0" w:space="0" w:color="auto"/>
                          </w:divBdr>
                          <w:divsChild>
                            <w:div w:id="255673226">
                              <w:marLeft w:val="0"/>
                              <w:marRight w:val="300"/>
                              <w:marTop w:val="180"/>
                              <w:marBottom w:val="0"/>
                              <w:divBdr>
                                <w:top w:val="none" w:sz="0" w:space="0" w:color="auto"/>
                                <w:left w:val="none" w:sz="0" w:space="0" w:color="auto"/>
                                <w:bottom w:val="none" w:sz="0" w:space="0" w:color="auto"/>
                                <w:right w:val="none" w:sz="0" w:space="0" w:color="auto"/>
                              </w:divBdr>
                              <w:divsChild>
                                <w:div w:id="147175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443036">
          <w:marLeft w:val="0"/>
          <w:marRight w:val="0"/>
          <w:marTop w:val="0"/>
          <w:marBottom w:val="0"/>
          <w:divBdr>
            <w:top w:val="none" w:sz="0" w:space="0" w:color="auto"/>
            <w:left w:val="none" w:sz="0" w:space="0" w:color="auto"/>
            <w:bottom w:val="none" w:sz="0" w:space="0" w:color="auto"/>
            <w:right w:val="none" w:sz="0" w:space="0" w:color="auto"/>
          </w:divBdr>
          <w:divsChild>
            <w:div w:id="402222808">
              <w:marLeft w:val="0"/>
              <w:marRight w:val="0"/>
              <w:marTop w:val="0"/>
              <w:marBottom w:val="0"/>
              <w:divBdr>
                <w:top w:val="none" w:sz="0" w:space="0" w:color="auto"/>
                <w:left w:val="none" w:sz="0" w:space="0" w:color="auto"/>
                <w:bottom w:val="none" w:sz="0" w:space="0" w:color="auto"/>
                <w:right w:val="none" w:sz="0" w:space="0" w:color="auto"/>
              </w:divBdr>
              <w:divsChild>
                <w:div w:id="361128634">
                  <w:marLeft w:val="0"/>
                  <w:marRight w:val="0"/>
                  <w:marTop w:val="0"/>
                  <w:marBottom w:val="0"/>
                  <w:divBdr>
                    <w:top w:val="none" w:sz="0" w:space="0" w:color="auto"/>
                    <w:left w:val="none" w:sz="0" w:space="0" w:color="auto"/>
                    <w:bottom w:val="none" w:sz="0" w:space="0" w:color="auto"/>
                    <w:right w:val="none" w:sz="0" w:space="0" w:color="auto"/>
                  </w:divBdr>
                  <w:divsChild>
                    <w:div w:id="1565985506">
                      <w:marLeft w:val="0"/>
                      <w:marRight w:val="0"/>
                      <w:marTop w:val="0"/>
                      <w:marBottom w:val="0"/>
                      <w:divBdr>
                        <w:top w:val="none" w:sz="0" w:space="0" w:color="auto"/>
                        <w:left w:val="none" w:sz="0" w:space="0" w:color="auto"/>
                        <w:bottom w:val="none" w:sz="0" w:space="0" w:color="auto"/>
                        <w:right w:val="none" w:sz="0" w:space="0" w:color="auto"/>
                      </w:divBdr>
                      <w:divsChild>
                        <w:div w:id="2526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049394">
      <w:bodyDiv w:val="1"/>
      <w:marLeft w:val="0"/>
      <w:marRight w:val="0"/>
      <w:marTop w:val="0"/>
      <w:marBottom w:val="0"/>
      <w:divBdr>
        <w:top w:val="none" w:sz="0" w:space="0" w:color="auto"/>
        <w:left w:val="none" w:sz="0" w:space="0" w:color="auto"/>
        <w:bottom w:val="none" w:sz="0" w:space="0" w:color="auto"/>
        <w:right w:val="none" w:sz="0" w:space="0" w:color="auto"/>
      </w:divBdr>
    </w:div>
    <w:div w:id="1636446001">
      <w:bodyDiv w:val="1"/>
      <w:marLeft w:val="0"/>
      <w:marRight w:val="0"/>
      <w:marTop w:val="0"/>
      <w:marBottom w:val="0"/>
      <w:divBdr>
        <w:top w:val="none" w:sz="0" w:space="0" w:color="auto"/>
        <w:left w:val="none" w:sz="0" w:space="0" w:color="auto"/>
        <w:bottom w:val="none" w:sz="0" w:space="0" w:color="auto"/>
        <w:right w:val="none" w:sz="0" w:space="0" w:color="auto"/>
      </w:divBdr>
    </w:div>
    <w:div w:id="204193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ia\rathenau$\group\Microdata\Website%20Wetenschap%20in%20Cijfers\Wetenschap%20in%20Cijfers%20(WiC-EN)\Factsheets%20en%20datapublicaties\3%20-%20Producten\3.2%20Card;%20Publicaties\FC;%20Ontwikkeling%20onderzoeksprofiel%20Nederland\Voor%20bijlage%20NOWT%20discip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ia\rathenau$\group\Microdata\Website%20Wetenschap%20in%20Cijfers\Wetenschap%20in%20Cijfers%20(WiC-EN)\Factsheets%20en%20datapublicaties\3%20-%20Producten\3.2%20Card;%20Publicaties\FC;%20Ontwikkeling%20onderzoeksprofiel%20Nederland\Voor%20bijlage%20NOWT%20discipl.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Citation impact score scientific</a:t>
            </a:r>
            <a:r>
              <a:rPr lang="nl-NL" baseline="0"/>
              <a:t> disciplines 2016 and 2003</a:t>
            </a:r>
            <a:endParaRPr lang="nl-NL"/>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2"/>
          <c:order val="2"/>
          <c:tx>
            <c:strRef>
              <c:f>Blad1!$E$1</c:f>
              <c:strCache>
                <c:ptCount val="1"/>
                <c:pt idx="0">
                  <c:v>2016</c:v>
                </c:pt>
              </c:strCache>
            </c:strRef>
          </c:tx>
          <c:spPr>
            <a:solidFill>
              <a:schemeClr val="accent3"/>
            </a:solidFill>
            <a:ln>
              <a:noFill/>
            </a:ln>
            <a:effectLst/>
          </c:spPr>
          <c:invertIfNegative val="0"/>
          <c:cat>
            <c:strRef>
              <c:f>Blad1!$B$2:$B$34</c:f>
              <c:strCache>
                <c:ptCount val="33"/>
                <c:pt idx="0">
                  <c:v>Earth sciences and technology</c:v>
                </c:pt>
                <c:pt idx="1">
                  <c:v>Chemistry and chemical engineering</c:v>
                </c:pt>
                <c:pt idx="2">
                  <c:v>Physics and materials science</c:v>
                </c:pt>
                <c:pt idx="3">
                  <c:v>Environmental sciences and technology</c:v>
                </c:pt>
                <c:pt idx="4">
                  <c:v>Statistical sciences</c:v>
                </c:pt>
                <c:pt idx="5">
                  <c:v>Astronomy and astrophysics</c:v>
                </c:pt>
                <c:pt idx="6">
                  <c:v>Mathematics</c:v>
                </c:pt>
                <c:pt idx="8">
                  <c:v>General and industrial engineering</c:v>
                </c:pt>
                <c:pt idx="9">
                  <c:v>Civil engineering and construction</c:v>
                </c:pt>
                <c:pt idx="10">
                  <c:v>Computer sciences</c:v>
                </c:pt>
                <c:pt idx="11">
                  <c:v>Electrical engineering and telecommunication</c:v>
                </c:pt>
                <c:pt idx="12">
                  <c:v>Energy science and technology</c:v>
                </c:pt>
                <c:pt idx="13">
                  <c:v>Instruments and instrumentation</c:v>
                </c:pt>
                <c:pt idx="14">
                  <c:v>Mechanical engineering and aerospace</c:v>
                </c:pt>
                <c:pt idx="16">
                  <c:v>Agriculture and food science</c:v>
                </c:pt>
                <c:pt idx="18">
                  <c:v>Biological sciences</c:v>
                </c:pt>
                <c:pt idx="19">
                  <c:v>Biomedical sciences</c:v>
                </c:pt>
                <c:pt idx="20">
                  <c:v>Basic life sciences</c:v>
                </c:pt>
                <c:pt idx="21">
                  <c:v>Basic medical sciences</c:v>
                </c:pt>
                <c:pt idx="22">
                  <c:v>Health sciences</c:v>
                </c:pt>
                <c:pt idx="23">
                  <c:v>Clinical medicine</c:v>
                </c:pt>
                <c:pt idx="25">
                  <c:v>Economics and business</c:v>
                </c:pt>
                <c:pt idx="26">
                  <c:v>Information and communication sciences</c:v>
                </c:pt>
                <c:pt idx="27">
                  <c:v>Management and planning</c:v>
                </c:pt>
                <c:pt idx="28">
                  <c:v>Educational sciences</c:v>
                </c:pt>
                <c:pt idx="29">
                  <c:v>Political science and public administration</c:v>
                </c:pt>
                <c:pt idx="30">
                  <c:v>Psychology</c:v>
                </c:pt>
                <c:pt idx="31">
                  <c:v>Social and behavioral sciences, interdisciplinary</c:v>
                </c:pt>
                <c:pt idx="32">
                  <c:v>Sociology and anthropology</c:v>
                </c:pt>
              </c:strCache>
            </c:strRef>
          </c:cat>
          <c:val>
            <c:numRef>
              <c:f>Blad1!$E$2:$E$34</c:f>
              <c:numCache>
                <c:formatCode>General</c:formatCode>
                <c:ptCount val="33"/>
                <c:pt idx="0">
                  <c:v>1.39941727961829</c:v>
                </c:pt>
                <c:pt idx="1">
                  <c:v>1.49154477288248</c:v>
                </c:pt>
                <c:pt idx="2">
                  <c:v>1.43410994556932</c:v>
                </c:pt>
                <c:pt idx="3">
                  <c:v>1.5295543487230301</c:v>
                </c:pt>
                <c:pt idx="4">
                  <c:v>1.0389075780829999</c:v>
                </c:pt>
                <c:pt idx="5">
                  <c:v>1.28670929908798</c:v>
                </c:pt>
                <c:pt idx="6">
                  <c:v>0.97531555288309202</c:v>
                </c:pt>
                <c:pt idx="8">
                  <c:v>1.30039209129274</c:v>
                </c:pt>
                <c:pt idx="9">
                  <c:v>1.31015107681835</c:v>
                </c:pt>
                <c:pt idx="10">
                  <c:v>1.10862665212792</c:v>
                </c:pt>
                <c:pt idx="11">
                  <c:v>1.17701582596534</c:v>
                </c:pt>
                <c:pt idx="12">
                  <c:v>1.39209063174848</c:v>
                </c:pt>
                <c:pt idx="13">
                  <c:v>0.95332289748639998</c:v>
                </c:pt>
                <c:pt idx="14">
                  <c:v>1.1218146043498101</c:v>
                </c:pt>
                <c:pt idx="16">
                  <c:v>1.30329921262944</c:v>
                </c:pt>
                <c:pt idx="18">
                  <c:v>1.46954491038274</c:v>
                </c:pt>
                <c:pt idx="19">
                  <c:v>1.24283617087857</c:v>
                </c:pt>
                <c:pt idx="20">
                  <c:v>1.4566724965915401</c:v>
                </c:pt>
                <c:pt idx="21">
                  <c:v>1.12170247226666</c:v>
                </c:pt>
                <c:pt idx="22">
                  <c:v>1.0946821208695801</c:v>
                </c:pt>
                <c:pt idx="23">
                  <c:v>1.3707727531842</c:v>
                </c:pt>
                <c:pt idx="25">
                  <c:v>1.2619150727484301</c:v>
                </c:pt>
                <c:pt idx="26">
                  <c:v>1.3763879577167799</c:v>
                </c:pt>
                <c:pt idx="27">
                  <c:v>1.2553969478565501</c:v>
                </c:pt>
                <c:pt idx="28">
                  <c:v>1.1173217710173</c:v>
                </c:pt>
                <c:pt idx="29">
                  <c:v>1.5363357599494001</c:v>
                </c:pt>
                <c:pt idx="30">
                  <c:v>1.2648785333499</c:v>
                </c:pt>
                <c:pt idx="31">
                  <c:v>1.0992935940464099</c:v>
                </c:pt>
                <c:pt idx="32">
                  <c:v>1.2430955547995901</c:v>
                </c:pt>
              </c:numCache>
            </c:numRef>
          </c:val>
          <c:extLst>
            <c:ext xmlns:c16="http://schemas.microsoft.com/office/drawing/2014/chart" uri="{C3380CC4-5D6E-409C-BE32-E72D297353CC}">
              <c16:uniqueId val="{00000000-E06B-4886-9E5C-697D2904E80F}"/>
            </c:ext>
          </c:extLst>
        </c:ser>
        <c:dLbls>
          <c:showLegendKey val="0"/>
          <c:showVal val="0"/>
          <c:showCatName val="0"/>
          <c:showSerName val="0"/>
          <c:showPercent val="0"/>
          <c:showBubbleSize val="0"/>
        </c:dLbls>
        <c:gapWidth val="219"/>
        <c:axId val="535798400"/>
        <c:axId val="539569296"/>
      </c:barChart>
      <c:lineChart>
        <c:grouping val="standard"/>
        <c:varyColors val="0"/>
        <c:ser>
          <c:idx val="0"/>
          <c:order val="0"/>
          <c:tx>
            <c:strRef>
              <c:f>Blad1!$C$1</c:f>
              <c:strCache>
                <c:ptCount val="1"/>
                <c:pt idx="0">
                  <c:v>Global average</c:v>
                </c:pt>
              </c:strCache>
            </c:strRef>
          </c:tx>
          <c:spPr>
            <a:ln w="28575" cap="rnd">
              <a:solidFill>
                <a:schemeClr val="accent1"/>
              </a:solidFill>
              <a:round/>
            </a:ln>
            <a:effectLst/>
          </c:spPr>
          <c:marker>
            <c:symbol val="none"/>
          </c:marker>
          <c:cat>
            <c:strRef>
              <c:f>Blad1!$B$2:$B$34</c:f>
              <c:strCache>
                <c:ptCount val="33"/>
                <c:pt idx="0">
                  <c:v>Earth sciences and technology</c:v>
                </c:pt>
                <c:pt idx="1">
                  <c:v>Chemistry and chemical engineering</c:v>
                </c:pt>
                <c:pt idx="2">
                  <c:v>Physics and materials science</c:v>
                </c:pt>
                <c:pt idx="3">
                  <c:v>Environmental sciences and technology</c:v>
                </c:pt>
                <c:pt idx="4">
                  <c:v>Statistical sciences</c:v>
                </c:pt>
                <c:pt idx="5">
                  <c:v>Astronomy and astrophysics</c:v>
                </c:pt>
                <c:pt idx="6">
                  <c:v>Mathematics</c:v>
                </c:pt>
                <c:pt idx="8">
                  <c:v>General and industrial engineering</c:v>
                </c:pt>
                <c:pt idx="9">
                  <c:v>Civil engineering and construction</c:v>
                </c:pt>
                <c:pt idx="10">
                  <c:v>Computer sciences</c:v>
                </c:pt>
                <c:pt idx="11">
                  <c:v>Electrical engineering and telecommunication</c:v>
                </c:pt>
                <c:pt idx="12">
                  <c:v>Energy science and technology</c:v>
                </c:pt>
                <c:pt idx="13">
                  <c:v>Instruments and instrumentation</c:v>
                </c:pt>
                <c:pt idx="14">
                  <c:v>Mechanical engineering and aerospace</c:v>
                </c:pt>
                <c:pt idx="16">
                  <c:v>Agriculture and food science</c:v>
                </c:pt>
                <c:pt idx="18">
                  <c:v>Biological sciences</c:v>
                </c:pt>
                <c:pt idx="19">
                  <c:v>Biomedical sciences</c:v>
                </c:pt>
                <c:pt idx="20">
                  <c:v>Basic life sciences</c:v>
                </c:pt>
                <c:pt idx="21">
                  <c:v>Basic medical sciences</c:v>
                </c:pt>
                <c:pt idx="22">
                  <c:v>Health sciences</c:v>
                </c:pt>
                <c:pt idx="23">
                  <c:v>Clinical medicine</c:v>
                </c:pt>
                <c:pt idx="25">
                  <c:v>Economics and business</c:v>
                </c:pt>
                <c:pt idx="26">
                  <c:v>Information and communication sciences</c:v>
                </c:pt>
                <c:pt idx="27">
                  <c:v>Management and planning</c:v>
                </c:pt>
                <c:pt idx="28">
                  <c:v>Educational sciences</c:v>
                </c:pt>
                <c:pt idx="29">
                  <c:v>Political science and public administration</c:v>
                </c:pt>
                <c:pt idx="30">
                  <c:v>Psychology</c:v>
                </c:pt>
                <c:pt idx="31">
                  <c:v>Social and behavioral sciences, interdisciplinary</c:v>
                </c:pt>
                <c:pt idx="32">
                  <c:v>Sociology and anthropology</c:v>
                </c:pt>
              </c:strCache>
            </c:strRef>
          </c:cat>
          <c:val>
            <c:numRef>
              <c:f>Blad1!$C$2:$C$34</c:f>
              <c:numCache>
                <c:formatCode>General</c:formatCode>
                <c:ptCount val="33"/>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numCache>
            </c:numRef>
          </c:val>
          <c:smooth val="0"/>
          <c:extLst>
            <c:ext xmlns:c16="http://schemas.microsoft.com/office/drawing/2014/chart" uri="{C3380CC4-5D6E-409C-BE32-E72D297353CC}">
              <c16:uniqueId val="{00000001-E06B-4886-9E5C-697D2904E80F}"/>
            </c:ext>
          </c:extLst>
        </c:ser>
        <c:ser>
          <c:idx val="1"/>
          <c:order val="1"/>
          <c:tx>
            <c:strRef>
              <c:f>Blad1!$D$1</c:f>
              <c:strCache>
                <c:ptCount val="1"/>
                <c:pt idx="0">
                  <c:v>2003</c:v>
                </c:pt>
              </c:strCache>
            </c:strRef>
          </c:tx>
          <c:spPr>
            <a:ln w="28575" cap="rnd">
              <a:noFill/>
              <a:round/>
            </a:ln>
            <a:effectLst/>
          </c:spPr>
          <c:marker>
            <c:symbol val="circle"/>
            <c:size val="5"/>
            <c:spPr>
              <a:solidFill>
                <a:schemeClr val="tx1"/>
              </a:solidFill>
              <a:ln w="9525">
                <a:solidFill>
                  <a:schemeClr val="tx1"/>
                </a:solidFill>
              </a:ln>
              <a:effectLst/>
            </c:spPr>
          </c:marker>
          <c:cat>
            <c:strRef>
              <c:f>Blad1!$B$2:$B$34</c:f>
              <c:strCache>
                <c:ptCount val="33"/>
                <c:pt idx="0">
                  <c:v>Earth sciences and technology</c:v>
                </c:pt>
                <c:pt idx="1">
                  <c:v>Chemistry and chemical engineering</c:v>
                </c:pt>
                <c:pt idx="2">
                  <c:v>Physics and materials science</c:v>
                </c:pt>
                <c:pt idx="3">
                  <c:v>Environmental sciences and technology</c:v>
                </c:pt>
                <c:pt idx="4">
                  <c:v>Statistical sciences</c:v>
                </c:pt>
                <c:pt idx="5">
                  <c:v>Astronomy and astrophysics</c:v>
                </c:pt>
                <c:pt idx="6">
                  <c:v>Mathematics</c:v>
                </c:pt>
                <c:pt idx="8">
                  <c:v>General and industrial engineering</c:v>
                </c:pt>
                <c:pt idx="9">
                  <c:v>Civil engineering and construction</c:v>
                </c:pt>
                <c:pt idx="10">
                  <c:v>Computer sciences</c:v>
                </c:pt>
                <c:pt idx="11">
                  <c:v>Electrical engineering and telecommunication</c:v>
                </c:pt>
                <c:pt idx="12">
                  <c:v>Energy science and technology</c:v>
                </c:pt>
                <c:pt idx="13">
                  <c:v>Instruments and instrumentation</c:v>
                </c:pt>
                <c:pt idx="14">
                  <c:v>Mechanical engineering and aerospace</c:v>
                </c:pt>
                <c:pt idx="16">
                  <c:v>Agriculture and food science</c:v>
                </c:pt>
                <c:pt idx="18">
                  <c:v>Biological sciences</c:v>
                </c:pt>
                <c:pt idx="19">
                  <c:v>Biomedical sciences</c:v>
                </c:pt>
                <c:pt idx="20">
                  <c:v>Basic life sciences</c:v>
                </c:pt>
                <c:pt idx="21">
                  <c:v>Basic medical sciences</c:v>
                </c:pt>
                <c:pt idx="22">
                  <c:v>Health sciences</c:v>
                </c:pt>
                <c:pt idx="23">
                  <c:v>Clinical medicine</c:v>
                </c:pt>
                <c:pt idx="25">
                  <c:v>Economics and business</c:v>
                </c:pt>
                <c:pt idx="26">
                  <c:v>Information and communication sciences</c:v>
                </c:pt>
                <c:pt idx="27">
                  <c:v>Management and planning</c:v>
                </c:pt>
                <c:pt idx="28">
                  <c:v>Educational sciences</c:v>
                </c:pt>
                <c:pt idx="29">
                  <c:v>Political science and public administration</c:v>
                </c:pt>
                <c:pt idx="30">
                  <c:v>Psychology</c:v>
                </c:pt>
                <c:pt idx="31">
                  <c:v>Social and behavioral sciences, interdisciplinary</c:v>
                </c:pt>
                <c:pt idx="32">
                  <c:v>Sociology and anthropology</c:v>
                </c:pt>
              </c:strCache>
            </c:strRef>
          </c:cat>
          <c:val>
            <c:numRef>
              <c:f>Blad1!$D$2:$D$34</c:f>
              <c:numCache>
                <c:formatCode>General</c:formatCode>
                <c:ptCount val="33"/>
                <c:pt idx="0">
                  <c:v>1.26285492789728</c:v>
                </c:pt>
                <c:pt idx="1">
                  <c:v>1.61774420280635</c:v>
                </c:pt>
                <c:pt idx="2">
                  <c:v>1.48045512702579</c:v>
                </c:pt>
                <c:pt idx="3">
                  <c:v>1.44073592794565</c:v>
                </c:pt>
                <c:pt idx="4">
                  <c:v>0.98319103279262299</c:v>
                </c:pt>
                <c:pt idx="5">
                  <c:v>1.28592856949479</c:v>
                </c:pt>
                <c:pt idx="6">
                  <c:v>1.19300418873007</c:v>
                </c:pt>
                <c:pt idx="8">
                  <c:v>1.26653894777939</c:v>
                </c:pt>
                <c:pt idx="9">
                  <c:v>0.84111704528561704</c:v>
                </c:pt>
                <c:pt idx="10">
                  <c:v>1.23886301235156</c:v>
                </c:pt>
                <c:pt idx="11">
                  <c:v>1.3289126677023499</c:v>
                </c:pt>
                <c:pt idx="12">
                  <c:v>0.99200098362706302</c:v>
                </c:pt>
                <c:pt idx="13">
                  <c:v>1.2199941970881301</c:v>
                </c:pt>
                <c:pt idx="14">
                  <c:v>1.12083412873065</c:v>
                </c:pt>
                <c:pt idx="16">
                  <c:v>1.3242266380432799</c:v>
                </c:pt>
                <c:pt idx="18">
                  <c:v>1.26476506705484</c:v>
                </c:pt>
                <c:pt idx="19">
                  <c:v>1.08802658562391</c:v>
                </c:pt>
                <c:pt idx="20">
                  <c:v>1.45822543723729</c:v>
                </c:pt>
                <c:pt idx="21">
                  <c:v>1.21572199411875</c:v>
                </c:pt>
                <c:pt idx="22">
                  <c:v>0.85622111541361501</c:v>
                </c:pt>
                <c:pt idx="23">
                  <c:v>1.2327667085491101</c:v>
                </c:pt>
                <c:pt idx="25">
                  <c:v>0.99692901238051501</c:v>
                </c:pt>
                <c:pt idx="26">
                  <c:v>1.26305641951895</c:v>
                </c:pt>
                <c:pt idx="27">
                  <c:v>1.11913709227103</c:v>
                </c:pt>
                <c:pt idx="28">
                  <c:v>1.0520517178458899</c:v>
                </c:pt>
                <c:pt idx="29">
                  <c:v>1.0450846057993399</c:v>
                </c:pt>
                <c:pt idx="30">
                  <c:v>0.92755944654851796</c:v>
                </c:pt>
                <c:pt idx="31">
                  <c:v>0.75302471251498104</c:v>
                </c:pt>
                <c:pt idx="32">
                  <c:v>0.73424565059001501</c:v>
                </c:pt>
              </c:numCache>
            </c:numRef>
          </c:val>
          <c:smooth val="0"/>
          <c:extLst>
            <c:ext xmlns:c16="http://schemas.microsoft.com/office/drawing/2014/chart" uri="{C3380CC4-5D6E-409C-BE32-E72D297353CC}">
              <c16:uniqueId val="{00000002-E06B-4886-9E5C-697D2904E80F}"/>
            </c:ext>
          </c:extLst>
        </c:ser>
        <c:dLbls>
          <c:showLegendKey val="0"/>
          <c:showVal val="0"/>
          <c:showCatName val="0"/>
          <c:showSerName val="0"/>
          <c:showPercent val="0"/>
          <c:showBubbleSize val="0"/>
        </c:dLbls>
        <c:marker val="1"/>
        <c:smooth val="0"/>
        <c:axId val="535798400"/>
        <c:axId val="539569296"/>
      </c:lineChart>
      <c:catAx>
        <c:axId val="535798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39569296"/>
        <c:crosses val="autoZero"/>
        <c:auto val="1"/>
        <c:lblAlgn val="ctr"/>
        <c:lblOffset val="100"/>
        <c:noMultiLvlLbl val="0"/>
      </c:catAx>
      <c:valAx>
        <c:axId val="539569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357984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Percentage increase</a:t>
            </a:r>
            <a:r>
              <a:rPr lang="nl-NL" baseline="0"/>
              <a:t> in number of publications 2003-2016</a:t>
            </a:r>
            <a:endParaRPr lang="nl-NL"/>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Blad1!$C$43</c:f>
              <c:strCache>
                <c:ptCount val="1"/>
                <c:pt idx="0">
                  <c:v>% stijging NL</c:v>
                </c:pt>
              </c:strCache>
            </c:strRef>
          </c:tx>
          <c:spPr>
            <a:solidFill>
              <a:schemeClr val="accent1"/>
            </a:solidFill>
            <a:ln>
              <a:noFill/>
            </a:ln>
            <a:effectLst/>
          </c:spPr>
          <c:invertIfNegative val="0"/>
          <c:cat>
            <c:strRef>
              <c:f>Blad1!$A$44:$B$76</c:f>
              <c:strCache>
                <c:ptCount val="33"/>
                <c:pt idx="0">
                  <c:v>Earth sciences and technology</c:v>
                </c:pt>
                <c:pt idx="1">
                  <c:v>Chemistry and chemical engineering</c:v>
                </c:pt>
                <c:pt idx="2">
                  <c:v>Physics and materials science</c:v>
                </c:pt>
                <c:pt idx="3">
                  <c:v>Environmental sciences and technology</c:v>
                </c:pt>
                <c:pt idx="4">
                  <c:v>Statistical sciences</c:v>
                </c:pt>
                <c:pt idx="5">
                  <c:v>Astronomy and astrophysics</c:v>
                </c:pt>
                <c:pt idx="6">
                  <c:v>Mathematics</c:v>
                </c:pt>
                <c:pt idx="8">
                  <c:v>General and industrial engineering</c:v>
                </c:pt>
                <c:pt idx="9">
                  <c:v>Civil engineering and construction</c:v>
                </c:pt>
                <c:pt idx="10">
                  <c:v>Computer sciences</c:v>
                </c:pt>
                <c:pt idx="11">
                  <c:v>Electrical engineering and telecommunication</c:v>
                </c:pt>
                <c:pt idx="12">
                  <c:v>Energy science and technology</c:v>
                </c:pt>
                <c:pt idx="13">
                  <c:v>Instruments and instrumentation</c:v>
                </c:pt>
                <c:pt idx="14">
                  <c:v>Mechanical engineering and aerospace</c:v>
                </c:pt>
                <c:pt idx="16">
                  <c:v>Agriculture and food science</c:v>
                </c:pt>
                <c:pt idx="18">
                  <c:v>Biological sciences</c:v>
                </c:pt>
                <c:pt idx="19">
                  <c:v>Biomedical sciences</c:v>
                </c:pt>
                <c:pt idx="20">
                  <c:v>Basic life sciences</c:v>
                </c:pt>
                <c:pt idx="21">
                  <c:v>Basic medical sciences</c:v>
                </c:pt>
                <c:pt idx="22">
                  <c:v>Health sciences</c:v>
                </c:pt>
                <c:pt idx="23">
                  <c:v>Clinical medicine</c:v>
                </c:pt>
                <c:pt idx="25">
                  <c:v>Economics and business</c:v>
                </c:pt>
                <c:pt idx="26">
                  <c:v>Information and communication sciences</c:v>
                </c:pt>
                <c:pt idx="27">
                  <c:v>Management and planning</c:v>
                </c:pt>
                <c:pt idx="28">
                  <c:v>Educational sciences</c:v>
                </c:pt>
                <c:pt idx="29">
                  <c:v>Political science and public administration</c:v>
                </c:pt>
                <c:pt idx="30">
                  <c:v>Psychology</c:v>
                </c:pt>
                <c:pt idx="31">
                  <c:v>Social and behavioral sciences, interdisciplinary</c:v>
                </c:pt>
                <c:pt idx="32">
                  <c:v>Sociology and anthropology</c:v>
                </c:pt>
              </c:strCache>
            </c:strRef>
          </c:cat>
          <c:val>
            <c:numRef>
              <c:f>Blad1!$C$44:$C$76</c:f>
              <c:numCache>
                <c:formatCode>0</c:formatCode>
                <c:ptCount val="33"/>
                <c:pt idx="0">
                  <c:v>56.464890719051212</c:v>
                </c:pt>
                <c:pt idx="1">
                  <c:v>10.186370187154271</c:v>
                </c:pt>
                <c:pt idx="2">
                  <c:v>9.5861713212711983</c:v>
                </c:pt>
                <c:pt idx="3">
                  <c:v>155.45509134559151</c:v>
                </c:pt>
                <c:pt idx="4">
                  <c:v>36.586558604085354</c:v>
                </c:pt>
                <c:pt idx="5">
                  <c:v>34.559354793868295</c:v>
                </c:pt>
                <c:pt idx="6">
                  <c:v>5.0745382548603724</c:v>
                </c:pt>
                <c:pt idx="8">
                  <c:v>57.985966412625835</c:v>
                </c:pt>
                <c:pt idx="9">
                  <c:v>187.33315177856937</c:v>
                </c:pt>
                <c:pt idx="10">
                  <c:v>-8.0850224617951767</c:v>
                </c:pt>
                <c:pt idx="11">
                  <c:v>89.466356604832271</c:v>
                </c:pt>
                <c:pt idx="12">
                  <c:v>121.18777316668582</c:v>
                </c:pt>
                <c:pt idx="13">
                  <c:v>24.301855078045385</c:v>
                </c:pt>
                <c:pt idx="14">
                  <c:v>45.762604451252621</c:v>
                </c:pt>
                <c:pt idx="16">
                  <c:v>51.580543065268401</c:v>
                </c:pt>
                <c:pt idx="18">
                  <c:v>31.294151287817186</c:v>
                </c:pt>
                <c:pt idx="19">
                  <c:v>61.930158558134416</c:v>
                </c:pt>
                <c:pt idx="20">
                  <c:v>28.549837903303299</c:v>
                </c:pt>
                <c:pt idx="21">
                  <c:v>103.32957987025777</c:v>
                </c:pt>
                <c:pt idx="22">
                  <c:v>255.94089931983285</c:v>
                </c:pt>
                <c:pt idx="23">
                  <c:v>76.593376062850524</c:v>
                </c:pt>
                <c:pt idx="25">
                  <c:v>118.89225333175632</c:v>
                </c:pt>
                <c:pt idx="26">
                  <c:v>250.25201459068995</c:v>
                </c:pt>
                <c:pt idx="27">
                  <c:v>167.44132714351898</c:v>
                </c:pt>
                <c:pt idx="28">
                  <c:v>300.04934941841219</c:v>
                </c:pt>
                <c:pt idx="29">
                  <c:v>317.75895664379033</c:v>
                </c:pt>
                <c:pt idx="30">
                  <c:v>159.28185340688771</c:v>
                </c:pt>
                <c:pt idx="31">
                  <c:v>217.87646759048673</c:v>
                </c:pt>
                <c:pt idx="32">
                  <c:v>223.03422803758784</c:v>
                </c:pt>
              </c:numCache>
            </c:numRef>
          </c:val>
          <c:extLst>
            <c:ext xmlns:c16="http://schemas.microsoft.com/office/drawing/2014/chart" uri="{C3380CC4-5D6E-409C-BE32-E72D297353CC}">
              <c16:uniqueId val="{00000000-D89C-4B94-A4E6-3AD7B9C15E40}"/>
            </c:ext>
          </c:extLst>
        </c:ser>
        <c:dLbls>
          <c:showLegendKey val="0"/>
          <c:showVal val="0"/>
          <c:showCatName val="0"/>
          <c:showSerName val="0"/>
          <c:showPercent val="0"/>
          <c:showBubbleSize val="0"/>
        </c:dLbls>
        <c:gapWidth val="219"/>
        <c:overlap val="-27"/>
        <c:axId val="488888384"/>
        <c:axId val="488944928"/>
      </c:barChart>
      <c:lineChart>
        <c:grouping val="standard"/>
        <c:varyColors val="0"/>
        <c:ser>
          <c:idx val="1"/>
          <c:order val="1"/>
          <c:tx>
            <c:strRef>
              <c:f>Blad1!$D$43</c:f>
              <c:strCache>
                <c:ptCount val="1"/>
                <c:pt idx="0">
                  <c:v>% stijging referentielanden</c:v>
                </c:pt>
              </c:strCache>
            </c:strRef>
          </c:tx>
          <c:spPr>
            <a:ln w="28575" cap="rnd">
              <a:noFill/>
              <a:round/>
            </a:ln>
            <a:effectLst/>
          </c:spPr>
          <c:marker>
            <c:symbol val="triangle"/>
            <c:size val="5"/>
            <c:spPr>
              <a:solidFill>
                <a:schemeClr val="tx1"/>
              </a:solidFill>
              <a:ln w="9525">
                <a:solidFill>
                  <a:schemeClr val="tx1"/>
                </a:solidFill>
              </a:ln>
              <a:effectLst/>
            </c:spPr>
          </c:marker>
          <c:cat>
            <c:strRef>
              <c:f>Blad1!$A$44:$B$76</c:f>
              <c:strCache>
                <c:ptCount val="33"/>
                <c:pt idx="0">
                  <c:v>Earth sciences and technology</c:v>
                </c:pt>
                <c:pt idx="1">
                  <c:v>Chemistry and chemical engineering</c:v>
                </c:pt>
                <c:pt idx="2">
                  <c:v>Physics and materials science</c:v>
                </c:pt>
                <c:pt idx="3">
                  <c:v>Environmental sciences and technology</c:v>
                </c:pt>
                <c:pt idx="4">
                  <c:v>Statistical sciences</c:v>
                </c:pt>
                <c:pt idx="5">
                  <c:v>Astronomy and astrophysics</c:v>
                </c:pt>
                <c:pt idx="6">
                  <c:v>Mathematics</c:v>
                </c:pt>
                <c:pt idx="8">
                  <c:v>General and industrial engineering</c:v>
                </c:pt>
                <c:pt idx="9">
                  <c:v>Civil engineering and construction</c:v>
                </c:pt>
                <c:pt idx="10">
                  <c:v>Computer sciences</c:v>
                </c:pt>
                <c:pt idx="11">
                  <c:v>Electrical engineering and telecommunication</c:v>
                </c:pt>
                <c:pt idx="12">
                  <c:v>Energy science and technology</c:v>
                </c:pt>
                <c:pt idx="13">
                  <c:v>Instruments and instrumentation</c:v>
                </c:pt>
                <c:pt idx="14">
                  <c:v>Mechanical engineering and aerospace</c:v>
                </c:pt>
                <c:pt idx="16">
                  <c:v>Agriculture and food science</c:v>
                </c:pt>
                <c:pt idx="18">
                  <c:v>Biological sciences</c:v>
                </c:pt>
                <c:pt idx="19">
                  <c:v>Biomedical sciences</c:v>
                </c:pt>
                <c:pt idx="20">
                  <c:v>Basic life sciences</c:v>
                </c:pt>
                <c:pt idx="21">
                  <c:v>Basic medical sciences</c:v>
                </c:pt>
                <c:pt idx="22">
                  <c:v>Health sciences</c:v>
                </c:pt>
                <c:pt idx="23">
                  <c:v>Clinical medicine</c:v>
                </c:pt>
                <c:pt idx="25">
                  <c:v>Economics and business</c:v>
                </c:pt>
                <c:pt idx="26">
                  <c:v>Information and communication sciences</c:v>
                </c:pt>
                <c:pt idx="27">
                  <c:v>Management and planning</c:v>
                </c:pt>
                <c:pt idx="28">
                  <c:v>Educational sciences</c:v>
                </c:pt>
                <c:pt idx="29">
                  <c:v>Political science and public administration</c:v>
                </c:pt>
                <c:pt idx="30">
                  <c:v>Psychology</c:v>
                </c:pt>
                <c:pt idx="31">
                  <c:v>Social and behavioral sciences, interdisciplinary</c:v>
                </c:pt>
                <c:pt idx="32">
                  <c:v>Sociology and anthropology</c:v>
                </c:pt>
              </c:strCache>
            </c:strRef>
          </c:cat>
          <c:val>
            <c:numRef>
              <c:f>Blad1!$D$44:$D$76</c:f>
              <c:numCache>
                <c:formatCode>0</c:formatCode>
                <c:ptCount val="33"/>
                <c:pt idx="0">
                  <c:v>97.921600092600428</c:v>
                </c:pt>
                <c:pt idx="1">
                  <c:v>86.423274646549402</c:v>
                </c:pt>
                <c:pt idx="2">
                  <c:v>68.524500547581255</c:v>
                </c:pt>
                <c:pt idx="3">
                  <c:v>159.5398625216348</c:v>
                </c:pt>
                <c:pt idx="4">
                  <c:v>88.943258694696922</c:v>
                </c:pt>
                <c:pt idx="5">
                  <c:v>34.222045310059279</c:v>
                </c:pt>
                <c:pt idx="6">
                  <c:v>84.261543487650314</c:v>
                </c:pt>
                <c:pt idx="8">
                  <c:v>138.82353222888622</c:v>
                </c:pt>
                <c:pt idx="9">
                  <c:v>226.5204196766195</c:v>
                </c:pt>
                <c:pt idx="10">
                  <c:v>46.098998347482436</c:v>
                </c:pt>
                <c:pt idx="11">
                  <c:v>146.69612580068846</c:v>
                </c:pt>
                <c:pt idx="12">
                  <c:v>236.6141979311156</c:v>
                </c:pt>
                <c:pt idx="13">
                  <c:v>100.40351091617001</c:v>
                </c:pt>
                <c:pt idx="14">
                  <c:v>101.34006682072183</c:v>
                </c:pt>
                <c:pt idx="16">
                  <c:v>86.989699855909436</c:v>
                </c:pt>
                <c:pt idx="18">
                  <c:v>63.487642027140168</c:v>
                </c:pt>
                <c:pt idx="19">
                  <c:v>57.649401379889007</c:v>
                </c:pt>
                <c:pt idx="20">
                  <c:v>46.642894793652154</c:v>
                </c:pt>
                <c:pt idx="21">
                  <c:v>221.12241144538936</c:v>
                </c:pt>
                <c:pt idx="22">
                  <c:v>140.27564591611892</c:v>
                </c:pt>
                <c:pt idx="23">
                  <c:v>68.773926200251026</c:v>
                </c:pt>
                <c:pt idx="25">
                  <c:v>113.88062718918989</c:v>
                </c:pt>
                <c:pt idx="26">
                  <c:v>131.90996210890194</c:v>
                </c:pt>
                <c:pt idx="27">
                  <c:v>130.12070052919432</c:v>
                </c:pt>
                <c:pt idx="28">
                  <c:v>129.40162011238473</c:v>
                </c:pt>
                <c:pt idx="29">
                  <c:v>97.027253480876368</c:v>
                </c:pt>
                <c:pt idx="30">
                  <c:v>99.140564900410766</c:v>
                </c:pt>
                <c:pt idx="31">
                  <c:v>136.66845832642358</c:v>
                </c:pt>
                <c:pt idx="32">
                  <c:v>114.79025534763076</c:v>
                </c:pt>
              </c:numCache>
            </c:numRef>
          </c:val>
          <c:smooth val="0"/>
          <c:extLst>
            <c:ext xmlns:c16="http://schemas.microsoft.com/office/drawing/2014/chart" uri="{C3380CC4-5D6E-409C-BE32-E72D297353CC}">
              <c16:uniqueId val="{00000001-D89C-4B94-A4E6-3AD7B9C15E40}"/>
            </c:ext>
          </c:extLst>
        </c:ser>
        <c:ser>
          <c:idx val="2"/>
          <c:order val="2"/>
          <c:tx>
            <c:strRef>
              <c:f>Blad1!$E$43</c:f>
              <c:strCache>
                <c:ptCount val="1"/>
                <c:pt idx="0">
                  <c:v>% stijging ref landen zonder china</c:v>
                </c:pt>
              </c:strCache>
            </c:strRef>
          </c:tx>
          <c:spPr>
            <a:ln w="28575" cap="rnd">
              <a:noFill/>
              <a:round/>
            </a:ln>
            <a:effectLst/>
          </c:spPr>
          <c:marker>
            <c:symbol val="circle"/>
            <c:size val="5"/>
            <c:spPr>
              <a:solidFill>
                <a:schemeClr val="accent3"/>
              </a:solidFill>
              <a:ln w="9525">
                <a:solidFill>
                  <a:schemeClr val="accent3"/>
                </a:solidFill>
              </a:ln>
              <a:effectLst/>
            </c:spPr>
          </c:marker>
          <c:cat>
            <c:strRef>
              <c:f>Blad1!$A$44:$B$76</c:f>
              <c:strCache>
                <c:ptCount val="33"/>
                <c:pt idx="0">
                  <c:v>Earth sciences and technology</c:v>
                </c:pt>
                <c:pt idx="1">
                  <c:v>Chemistry and chemical engineering</c:v>
                </c:pt>
                <c:pt idx="2">
                  <c:v>Physics and materials science</c:v>
                </c:pt>
                <c:pt idx="3">
                  <c:v>Environmental sciences and technology</c:v>
                </c:pt>
                <c:pt idx="4">
                  <c:v>Statistical sciences</c:v>
                </c:pt>
                <c:pt idx="5">
                  <c:v>Astronomy and astrophysics</c:v>
                </c:pt>
                <c:pt idx="6">
                  <c:v>Mathematics</c:v>
                </c:pt>
                <c:pt idx="8">
                  <c:v>General and industrial engineering</c:v>
                </c:pt>
                <c:pt idx="9">
                  <c:v>Civil engineering and construction</c:v>
                </c:pt>
                <c:pt idx="10">
                  <c:v>Computer sciences</c:v>
                </c:pt>
                <c:pt idx="11">
                  <c:v>Electrical engineering and telecommunication</c:v>
                </c:pt>
                <c:pt idx="12">
                  <c:v>Energy science and technology</c:v>
                </c:pt>
                <c:pt idx="13">
                  <c:v>Instruments and instrumentation</c:v>
                </c:pt>
                <c:pt idx="14">
                  <c:v>Mechanical engineering and aerospace</c:v>
                </c:pt>
                <c:pt idx="16">
                  <c:v>Agriculture and food science</c:v>
                </c:pt>
                <c:pt idx="18">
                  <c:v>Biological sciences</c:v>
                </c:pt>
                <c:pt idx="19">
                  <c:v>Biomedical sciences</c:v>
                </c:pt>
                <c:pt idx="20">
                  <c:v>Basic life sciences</c:v>
                </c:pt>
                <c:pt idx="21">
                  <c:v>Basic medical sciences</c:v>
                </c:pt>
                <c:pt idx="22">
                  <c:v>Health sciences</c:v>
                </c:pt>
                <c:pt idx="23">
                  <c:v>Clinical medicine</c:v>
                </c:pt>
                <c:pt idx="25">
                  <c:v>Economics and business</c:v>
                </c:pt>
                <c:pt idx="26">
                  <c:v>Information and communication sciences</c:v>
                </c:pt>
                <c:pt idx="27">
                  <c:v>Management and planning</c:v>
                </c:pt>
                <c:pt idx="28">
                  <c:v>Educational sciences</c:v>
                </c:pt>
                <c:pt idx="29">
                  <c:v>Political science and public administration</c:v>
                </c:pt>
                <c:pt idx="30">
                  <c:v>Psychology</c:v>
                </c:pt>
                <c:pt idx="31">
                  <c:v>Social and behavioral sciences, interdisciplinary</c:v>
                </c:pt>
                <c:pt idx="32">
                  <c:v>Sociology and anthropology</c:v>
                </c:pt>
              </c:strCache>
            </c:strRef>
          </c:cat>
          <c:val>
            <c:numRef>
              <c:f>Blad1!$E$44:$E$76</c:f>
              <c:numCache>
                <c:formatCode>0</c:formatCode>
                <c:ptCount val="33"/>
                <c:pt idx="0">
                  <c:v>62.831289532678269</c:v>
                </c:pt>
                <c:pt idx="1">
                  <c:v>28.218145622262035</c:v>
                </c:pt>
                <c:pt idx="2">
                  <c:v>23.240393897799283</c:v>
                </c:pt>
                <c:pt idx="3">
                  <c:v>111.25038236260511</c:v>
                </c:pt>
                <c:pt idx="4">
                  <c:v>66.053652509149046</c:v>
                </c:pt>
                <c:pt idx="5">
                  <c:v>26.643068415181006</c:v>
                </c:pt>
                <c:pt idx="6">
                  <c:v>39.034483065293671</c:v>
                </c:pt>
                <c:pt idx="8">
                  <c:v>63.192064790380712</c:v>
                </c:pt>
                <c:pt idx="9">
                  <c:v>166.48358465924446</c:v>
                </c:pt>
                <c:pt idx="10">
                  <c:v>5.9983942523927913</c:v>
                </c:pt>
                <c:pt idx="11">
                  <c:v>74.938730947122266</c:v>
                </c:pt>
                <c:pt idx="12">
                  <c:v>141.43558853514739</c:v>
                </c:pt>
                <c:pt idx="13">
                  <c:v>48.099912285021929</c:v>
                </c:pt>
                <c:pt idx="14">
                  <c:v>42.818949642615237</c:v>
                </c:pt>
                <c:pt idx="16">
                  <c:v>46.117516056636745</c:v>
                </c:pt>
                <c:pt idx="18">
                  <c:v>38.568378080639107</c:v>
                </c:pt>
                <c:pt idx="19">
                  <c:v>29.780737431327253</c:v>
                </c:pt>
                <c:pt idx="20">
                  <c:v>18.732926927351222</c:v>
                </c:pt>
                <c:pt idx="21">
                  <c:v>144.6558875836586</c:v>
                </c:pt>
                <c:pt idx="22">
                  <c:v>134.51119330145471</c:v>
                </c:pt>
                <c:pt idx="23">
                  <c:v>51.100424853969528</c:v>
                </c:pt>
                <c:pt idx="25">
                  <c:v>103.30821700071566</c:v>
                </c:pt>
                <c:pt idx="26">
                  <c:v>119.60984022670829</c:v>
                </c:pt>
                <c:pt idx="27">
                  <c:v>118.267120009862</c:v>
                </c:pt>
                <c:pt idx="28">
                  <c:v>125.49871092229812</c:v>
                </c:pt>
                <c:pt idx="29">
                  <c:v>94.792797021999206</c:v>
                </c:pt>
                <c:pt idx="30">
                  <c:v>94.213402899578142</c:v>
                </c:pt>
                <c:pt idx="31">
                  <c:v>131.08909948183359</c:v>
                </c:pt>
                <c:pt idx="32">
                  <c:v>109.83117732358387</c:v>
                </c:pt>
              </c:numCache>
            </c:numRef>
          </c:val>
          <c:smooth val="0"/>
          <c:extLst>
            <c:ext xmlns:c16="http://schemas.microsoft.com/office/drawing/2014/chart" uri="{C3380CC4-5D6E-409C-BE32-E72D297353CC}">
              <c16:uniqueId val="{00000002-D89C-4B94-A4E6-3AD7B9C15E40}"/>
            </c:ext>
          </c:extLst>
        </c:ser>
        <c:dLbls>
          <c:showLegendKey val="0"/>
          <c:showVal val="0"/>
          <c:showCatName val="0"/>
          <c:showSerName val="0"/>
          <c:showPercent val="0"/>
          <c:showBubbleSize val="0"/>
        </c:dLbls>
        <c:marker val="1"/>
        <c:smooth val="0"/>
        <c:axId val="488888384"/>
        <c:axId val="488944928"/>
      </c:lineChart>
      <c:catAx>
        <c:axId val="488888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88944928"/>
        <c:crosses val="autoZero"/>
        <c:auto val="1"/>
        <c:lblAlgn val="ctr"/>
        <c:lblOffset val="100"/>
        <c:noMultiLvlLbl val="0"/>
      </c:catAx>
      <c:valAx>
        <c:axId val="4889449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888883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82BC3-C68A-4C9A-A6BA-B29689F3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408</Words>
  <Characters>2249</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KNAW</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Nelleke van den Broek-Honingh</dc:creator>
  <cp:keywords/>
  <dc:description/>
  <cp:lastModifiedBy>Nelleke van den Broek-Honingh</cp:lastModifiedBy>
  <cp:revision>12</cp:revision>
  <cp:lastPrinted>2018-12-07T09:28:00Z</cp:lastPrinted>
  <dcterms:created xsi:type="dcterms:W3CDTF">2019-04-11T13:02:00Z</dcterms:created>
  <dcterms:modified xsi:type="dcterms:W3CDTF">2019-04-11T13:57:00Z</dcterms:modified>
</cp:coreProperties>
</file>