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0C318" w14:textId="2893A436" w:rsidR="006407D0" w:rsidRPr="006407D0" w:rsidRDefault="00DC5650" w:rsidP="00DA1A63">
      <w:pPr>
        <w:pStyle w:val="Geenafstand"/>
        <w:rPr>
          <w:b/>
          <w:lang w:val="nl-NL"/>
        </w:rPr>
      </w:pPr>
      <w:bookmarkStart w:id="0" w:name="_GoBack"/>
      <w:bookmarkEnd w:id="0"/>
      <w:r>
        <w:rPr>
          <w:b/>
          <w:lang w:val="nl-NL"/>
        </w:rPr>
        <w:t>Bijlage</w:t>
      </w:r>
      <w:r w:rsidR="00F65D75">
        <w:rPr>
          <w:b/>
          <w:lang w:val="nl-NL"/>
        </w:rPr>
        <w:t xml:space="preserve"> bij factsheet </w:t>
      </w:r>
      <w:r w:rsidR="00F65D75" w:rsidRPr="00F65D75">
        <w:rPr>
          <w:b/>
          <w:lang w:val="nl-NL"/>
        </w:rPr>
        <w:t xml:space="preserve">Ontwikkeling van het wetenschappelijk </w:t>
      </w:r>
      <w:proofErr w:type="spellStart"/>
      <w:r w:rsidR="00F65D75" w:rsidRPr="00F65D75">
        <w:rPr>
          <w:b/>
          <w:lang w:val="nl-NL"/>
        </w:rPr>
        <w:t>onderzoeksprofiel</w:t>
      </w:r>
      <w:proofErr w:type="spellEnd"/>
      <w:r w:rsidR="00F65D75" w:rsidRPr="00F65D75">
        <w:rPr>
          <w:b/>
          <w:lang w:val="nl-NL"/>
        </w:rPr>
        <w:t xml:space="preserve"> van Nederland</w:t>
      </w:r>
      <w:r w:rsidR="00F65D75">
        <w:rPr>
          <w:b/>
          <w:lang w:val="nl-NL"/>
        </w:rPr>
        <w:t xml:space="preserve"> -</w:t>
      </w:r>
      <w:r w:rsidR="006407D0" w:rsidRPr="006407D0">
        <w:rPr>
          <w:b/>
          <w:lang w:val="nl-NL"/>
        </w:rPr>
        <w:t>Ontwikkeling van disciplines</w:t>
      </w:r>
    </w:p>
    <w:p w14:paraId="06F8E2C2" w14:textId="77777777" w:rsidR="00F65D75" w:rsidRDefault="00F65D75" w:rsidP="00DA1A63">
      <w:pPr>
        <w:pStyle w:val="Geenafstand"/>
        <w:rPr>
          <w:lang w:val="nl-NL"/>
        </w:rPr>
      </w:pPr>
    </w:p>
    <w:p w14:paraId="2AD96A14" w14:textId="2B02014E" w:rsidR="00A76463" w:rsidRDefault="00837E0F" w:rsidP="00DA1A63">
      <w:pPr>
        <w:pStyle w:val="Geenafstand"/>
        <w:rPr>
          <w:lang w:val="nl-NL"/>
        </w:rPr>
      </w:pPr>
      <w:r>
        <w:rPr>
          <w:lang w:val="nl-NL"/>
        </w:rPr>
        <w:t xml:space="preserve">Sommige </w:t>
      </w:r>
      <w:r w:rsidR="00DE74C1">
        <w:rPr>
          <w:lang w:val="nl-NL"/>
        </w:rPr>
        <w:t>wetenschaps</w:t>
      </w:r>
      <w:r>
        <w:rPr>
          <w:lang w:val="nl-NL"/>
        </w:rPr>
        <w:t xml:space="preserve">gebieden omvatten veel verschillende disciplines. Om op een meer gedetailleerd niveau iets te kunnen zeggen, zijn ook gegevens opgevraagd van de </w:t>
      </w:r>
      <w:r w:rsidR="00B9090E">
        <w:rPr>
          <w:lang w:val="nl-NL"/>
        </w:rPr>
        <w:t>disciplines</w:t>
      </w:r>
      <w:r>
        <w:rPr>
          <w:lang w:val="nl-NL"/>
        </w:rPr>
        <w:t xml:space="preserve">. Deze </w:t>
      </w:r>
      <w:r w:rsidR="00B9090E" w:rsidRPr="00B9090E">
        <w:rPr>
          <w:lang w:val="nl-NL"/>
        </w:rPr>
        <w:t xml:space="preserve">disciplines </w:t>
      </w:r>
      <w:r>
        <w:rPr>
          <w:lang w:val="nl-NL"/>
        </w:rPr>
        <w:t xml:space="preserve">zijn niet vertaalbaar naar de gebieden, maar geven </w:t>
      </w:r>
      <w:r w:rsidR="00EF3722">
        <w:rPr>
          <w:lang w:val="nl-NL"/>
        </w:rPr>
        <w:t xml:space="preserve">wel </w:t>
      </w:r>
      <w:r>
        <w:rPr>
          <w:lang w:val="nl-NL"/>
        </w:rPr>
        <w:t>een gedetailleerder beeld</w:t>
      </w:r>
      <w:r w:rsidR="00272891">
        <w:rPr>
          <w:lang w:val="nl-NL"/>
        </w:rPr>
        <w:t xml:space="preserve"> van het Nederlandse </w:t>
      </w:r>
      <w:proofErr w:type="spellStart"/>
      <w:r w:rsidR="00272891">
        <w:rPr>
          <w:lang w:val="nl-NL"/>
        </w:rPr>
        <w:t>onderzoekslandschap</w:t>
      </w:r>
      <w:proofErr w:type="spellEnd"/>
      <w:r>
        <w:rPr>
          <w:lang w:val="nl-NL"/>
        </w:rPr>
        <w:t xml:space="preserve">. </w:t>
      </w:r>
    </w:p>
    <w:p w14:paraId="63D886F7" w14:textId="1974AF24" w:rsidR="00BE30AB" w:rsidRDefault="00BE30AB" w:rsidP="00DA1A63">
      <w:pPr>
        <w:pStyle w:val="Geenafstand"/>
        <w:rPr>
          <w:lang w:val="nl-NL"/>
        </w:rPr>
      </w:pPr>
    </w:p>
    <w:p w14:paraId="7CA969A2" w14:textId="28203FF3" w:rsidR="00D93582" w:rsidRDefault="00BE30AB" w:rsidP="00DA1A63">
      <w:pPr>
        <w:pStyle w:val="Geenafstand"/>
        <w:rPr>
          <w:lang w:val="nl-NL"/>
        </w:rPr>
      </w:pPr>
      <w:r w:rsidRPr="00BE30AB">
        <w:rPr>
          <w:lang w:val="nl-NL"/>
        </w:rPr>
        <w:t xml:space="preserve">In onderstaande figuur is per discipline de citatie-impactscore weergegeven voor 2016. Verder is met een bolletje aangegeven wat de score was in 2003. </w:t>
      </w:r>
      <w:r w:rsidR="00AF0F2E">
        <w:rPr>
          <w:lang w:val="nl-NL"/>
        </w:rPr>
        <w:t>W</w:t>
      </w:r>
      <w:r w:rsidRPr="00BE30AB">
        <w:rPr>
          <w:lang w:val="nl-NL"/>
        </w:rPr>
        <w:t xml:space="preserve">e </w:t>
      </w:r>
      <w:r w:rsidR="00AF0F2E">
        <w:rPr>
          <w:lang w:val="nl-NL"/>
        </w:rPr>
        <w:t>zien</w:t>
      </w:r>
      <w:r w:rsidRPr="00BE30AB">
        <w:rPr>
          <w:lang w:val="nl-NL"/>
        </w:rPr>
        <w:t xml:space="preserve"> dat Nederland het heel goed doet. Voor bijna alle disciplines komt de waarde (ruim) boven de 1,0 uit (het mondiale gemiddelde). </w:t>
      </w:r>
      <w:r w:rsidR="00D93582" w:rsidRPr="00D93582">
        <w:rPr>
          <w:lang w:val="nl-NL"/>
        </w:rPr>
        <w:t>Alleen Wiskunde en Instrumenten en instrumentarium scoren net onder het wereldgemiddelde. Door de jaren heen zien we bij beide in de eerste periode een waarde van rond de 1,2, maar de laatste jaren beweegt de citatie-impactscore zich rond de 1,0.</w:t>
      </w:r>
    </w:p>
    <w:p w14:paraId="1EBAD97F" w14:textId="77777777" w:rsidR="00D93582" w:rsidRDefault="00D93582" w:rsidP="00DA1A63">
      <w:pPr>
        <w:pStyle w:val="Geenafstand"/>
        <w:rPr>
          <w:lang w:val="nl-NL"/>
        </w:rPr>
      </w:pPr>
    </w:p>
    <w:p w14:paraId="2C6FBDD6" w14:textId="3BE50281" w:rsidR="00BE30AB" w:rsidRDefault="00BE30AB" w:rsidP="00DA1A63">
      <w:pPr>
        <w:pStyle w:val="Geenafstand"/>
        <w:rPr>
          <w:lang w:val="nl-NL"/>
        </w:rPr>
      </w:pPr>
      <w:r w:rsidRPr="00BE30AB">
        <w:rPr>
          <w:lang w:val="nl-NL"/>
        </w:rPr>
        <w:t xml:space="preserve">In de figuur is te zien dat voor de landbouw, </w:t>
      </w:r>
      <w:r w:rsidR="00AF0F2E">
        <w:rPr>
          <w:lang w:val="nl-NL"/>
        </w:rPr>
        <w:t>“</w:t>
      </w:r>
      <w:r w:rsidRPr="00BE30AB">
        <w:rPr>
          <w:lang w:val="nl-NL"/>
        </w:rPr>
        <w:t>medische</w:t>
      </w:r>
      <w:r w:rsidR="00AF0F2E">
        <w:rPr>
          <w:lang w:val="nl-NL"/>
        </w:rPr>
        <w:t>”</w:t>
      </w:r>
      <w:r w:rsidRPr="00BE30AB">
        <w:rPr>
          <w:lang w:val="nl-NL"/>
        </w:rPr>
        <w:t xml:space="preserve"> en </w:t>
      </w:r>
      <w:r w:rsidR="00AF0F2E">
        <w:rPr>
          <w:lang w:val="nl-NL"/>
        </w:rPr>
        <w:t>“</w:t>
      </w:r>
      <w:r w:rsidRPr="00BE30AB">
        <w:rPr>
          <w:lang w:val="nl-NL"/>
        </w:rPr>
        <w:t>gamma</w:t>
      </w:r>
      <w:r w:rsidR="00AF0F2E">
        <w:rPr>
          <w:lang w:val="nl-NL"/>
        </w:rPr>
        <w:t>”</w:t>
      </w:r>
      <w:r w:rsidRPr="00BE30AB">
        <w:rPr>
          <w:lang w:val="nl-NL"/>
        </w:rPr>
        <w:t>-wetenschappen de citatie-impactscore stijgt of ongeveer gelijk blijft. Uitzondering zijn de fundamentele medische wetenschappen welke licht daalt. Bij de “bètawetenschappen” zien we een gemengder beeld</w:t>
      </w:r>
      <w:r w:rsidR="00586D48">
        <w:rPr>
          <w:lang w:val="nl-NL"/>
        </w:rPr>
        <w:t xml:space="preserve"> met stijgers en dalers</w:t>
      </w:r>
      <w:r w:rsidRPr="00BE30AB">
        <w:rPr>
          <w:lang w:val="nl-NL"/>
        </w:rPr>
        <w:t xml:space="preserve">. </w:t>
      </w:r>
      <w:r w:rsidR="00D93582">
        <w:rPr>
          <w:lang w:val="nl-NL"/>
        </w:rPr>
        <w:t xml:space="preserve">Er zijn vier disciplines waar de citatie-impactscore meer dan 10% gedaald is: Computerwetenschappen, Electrotechniek, Wiskunde en Instrumenten en instrumentarium. </w:t>
      </w:r>
    </w:p>
    <w:p w14:paraId="71C74C91" w14:textId="0830B9FB" w:rsidR="00AB7575" w:rsidRDefault="00AB7575" w:rsidP="00DA1A63">
      <w:pPr>
        <w:pStyle w:val="Geenafstand"/>
        <w:rPr>
          <w:lang w:val="nl-NL"/>
        </w:rPr>
      </w:pPr>
    </w:p>
    <w:p w14:paraId="7EDABF21" w14:textId="1590BADE" w:rsidR="00187043" w:rsidRPr="00187043" w:rsidRDefault="00BF63A1" w:rsidP="00BF63A1">
      <w:pPr>
        <w:pStyle w:val="Geenafstand"/>
        <w:rPr>
          <w:lang w:val="nl-NL"/>
        </w:rPr>
      </w:pPr>
      <w:r>
        <w:rPr>
          <w:noProof/>
          <w:lang w:val="nl-NL" w:eastAsia="nl-NL"/>
        </w:rPr>
        <w:drawing>
          <wp:anchor distT="0" distB="0" distL="114300" distR="114300" simplePos="0" relativeHeight="251723776" behindDoc="0" locked="0" layoutInCell="1" allowOverlap="1" wp14:anchorId="763C1E1D" wp14:editId="5F2DBB6E">
            <wp:simplePos x="0" y="0"/>
            <wp:positionH relativeFrom="column">
              <wp:posOffset>15875</wp:posOffset>
            </wp:positionH>
            <wp:positionV relativeFrom="paragraph">
              <wp:posOffset>0</wp:posOffset>
            </wp:positionV>
            <wp:extent cx="5732145" cy="5543550"/>
            <wp:effectExtent l="0" t="0" r="1905" b="0"/>
            <wp:wrapTopAndBottom/>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505B82E3" w14:textId="61EAD3E1" w:rsidR="00187043" w:rsidRDefault="00187043" w:rsidP="00187043">
      <w:pPr>
        <w:pStyle w:val="Geenafstand"/>
        <w:rPr>
          <w:lang w:val="nl-NL"/>
        </w:rPr>
      </w:pPr>
    </w:p>
    <w:p w14:paraId="1137A32B" w14:textId="296A0927" w:rsidR="00F64B44" w:rsidRDefault="00AB7575" w:rsidP="00DA1A63">
      <w:pPr>
        <w:pStyle w:val="Geenafstand"/>
        <w:rPr>
          <w:lang w:val="nl-NL"/>
        </w:rPr>
      </w:pPr>
      <w:r>
        <w:rPr>
          <w:lang w:val="nl-NL"/>
        </w:rPr>
        <w:t xml:space="preserve">In onderstaande figuur is de procentuele stijging te zien van het aantal publicaties per </w:t>
      </w:r>
      <w:r w:rsidR="009967E5">
        <w:rPr>
          <w:lang w:val="nl-NL"/>
        </w:rPr>
        <w:t>discipline</w:t>
      </w:r>
      <w:r>
        <w:rPr>
          <w:lang w:val="nl-NL"/>
        </w:rPr>
        <w:t xml:space="preserve">, over de periode 2003-2016. Te zien is dat er een grote variëteit bestaat. Waar </w:t>
      </w:r>
      <w:r w:rsidR="00CC0C8C">
        <w:rPr>
          <w:lang w:val="nl-NL"/>
        </w:rPr>
        <w:t>Politieke Wetenschappen gestegen is met meer dan 300%</w:t>
      </w:r>
      <w:r>
        <w:rPr>
          <w:lang w:val="nl-NL"/>
        </w:rPr>
        <w:t xml:space="preserve">, is bij Computerwetenschappen het percentage licht gedaald (-8%). In de figuur zijn ook de procentuele stijgingen van de referentielanden met en zonder China opgenomen. Dan zien we dat de stijging bij </w:t>
      </w:r>
      <w:r w:rsidR="00CC0C8C">
        <w:rPr>
          <w:lang w:val="nl-NL"/>
        </w:rPr>
        <w:t xml:space="preserve">Politieke Wetenschappen </w:t>
      </w:r>
      <w:r>
        <w:rPr>
          <w:lang w:val="nl-NL"/>
        </w:rPr>
        <w:t xml:space="preserve">inderdaad opvallend is en dat de daling bij </w:t>
      </w:r>
      <w:r w:rsidR="00135D8D">
        <w:rPr>
          <w:lang w:val="nl-NL"/>
        </w:rPr>
        <w:t>Computerwetenschappen</w:t>
      </w:r>
      <w:r>
        <w:rPr>
          <w:lang w:val="nl-NL"/>
        </w:rPr>
        <w:t xml:space="preserve"> past in het beeld van de referentielanden. </w:t>
      </w:r>
      <w:r w:rsidR="00272891">
        <w:rPr>
          <w:lang w:val="nl-NL"/>
        </w:rPr>
        <w:t>Een mogelijke verklaring zou kunnen zijn dat b</w:t>
      </w:r>
      <w:r w:rsidR="008432F1">
        <w:rPr>
          <w:lang w:val="nl-NL"/>
        </w:rPr>
        <w:t xml:space="preserve">ij Computer wetenschappen ‘conference </w:t>
      </w:r>
      <w:proofErr w:type="spellStart"/>
      <w:r w:rsidR="008432F1">
        <w:rPr>
          <w:lang w:val="nl-NL"/>
        </w:rPr>
        <w:t>proceedings</w:t>
      </w:r>
      <w:proofErr w:type="spellEnd"/>
      <w:r w:rsidR="008432F1">
        <w:rPr>
          <w:lang w:val="nl-NL"/>
        </w:rPr>
        <w:t xml:space="preserve">’ </w:t>
      </w:r>
      <w:r w:rsidR="00272891">
        <w:rPr>
          <w:lang w:val="nl-NL"/>
        </w:rPr>
        <w:t xml:space="preserve">een </w:t>
      </w:r>
      <w:r w:rsidR="008432F1">
        <w:rPr>
          <w:lang w:val="nl-NL"/>
        </w:rPr>
        <w:t>belangrijk publicatiekana</w:t>
      </w:r>
      <w:r w:rsidR="00272891">
        <w:rPr>
          <w:lang w:val="nl-NL"/>
        </w:rPr>
        <w:t>a</w:t>
      </w:r>
      <w:r w:rsidR="008432F1">
        <w:rPr>
          <w:lang w:val="nl-NL"/>
        </w:rPr>
        <w:t xml:space="preserve">l </w:t>
      </w:r>
      <w:r w:rsidR="00272891">
        <w:rPr>
          <w:lang w:val="nl-NL"/>
        </w:rPr>
        <w:t>is</w:t>
      </w:r>
      <w:r w:rsidR="003E7E13">
        <w:rPr>
          <w:lang w:val="nl-NL"/>
        </w:rPr>
        <w:t xml:space="preserve">, wat </w:t>
      </w:r>
      <w:r w:rsidR="008432F1">
        <w:rPr>
          <w:lang w:val="nl-NL"/>
        </w:rPr>
        <w:t xml:space="preserve">niet meegenomen </w:t>
      </w:r>
      <w:r w:rsidR="00272891">
        <w:rPr>
          <w:lang w:val="nl-NL"/>
        </w:rPr>
        <w:t xml:space="preserve">is </w:t>
      </w:r>
      <w:r w:rsidR="008432F1">
        <w:rPr>
          <w:lang w:val="nl-NL"/>
        </w:rPr>
        <w:t xml:space="preserve">in onze dataselectie. </w:t>
      </w:r>
      <w:r w:rsidR="00F64B44">
        <w:rPr>
          <w:lang w:val="nl-NL"/>
        </w:rPr>
        <w:t xml:space="preserve">De opvallendste stijgingen zien we </w:t>
      </w:r>
      <w:r w:rsidR="0046464E">
        <w:rPr>
          <w:lang w:val="nl-NL"/>
        </w:rPr>
        <w:t>naast</w:t>
      </w:r>
      <w:r w:rsidR="00F64B44">
        <w:rPr>
          <w:lang w:val="nl-NL"/>
        </w:rPr>
        <w:t xml:space="preserve"> Politieke Wetenschappen </w:t>
      </w:r>
      <w:r w:rsidR="0046464E">
        <w:rPr>
          <w:lang w:val="nl-NL"/>
        </w:rPr>
        <w:t>bij</w:t>
      </w:r>
      <w:r w:rsidR="00F64B44">
        <w:rPr>
          <w:lang w:val="nl-NL"/>
        </w:rPr>
        <w:t xml:space="preserve"> </w:t>
      </w:r>
      <w:r w:rsidR="00F64B44" w:rsidRPr="00F64B44">
        <w:rPr>
          <w:lang w:val="nl-NL"/>
        </w:rPr>
        <w:t>Onderwijswetenschappen</w:t>
      </w:r>
      <w:r w:rsidR="0046464E">
        <w:rPr>
          <w:lang w:val="nl-NL"/>
        </w:rPr>
        <w:t>. Deze zijn</w:t>
      </w:r>
      <w:r w:rsidR="00F64B44">
        <w:rPr>
          <w:lang w:val="nl-NL"/>
        </w:rPr>
        <w:t xml:space="preserve"> respectievelijk 223% en 175% meer gestegen dan de referentielanden, zonder China.  </w:t>
      </w:r>
    </w:p>
    <w:p w14:paraId="4866C549" w14:textId="33D57C18" w:rsidR="008E65FD" w:rsidRDefault="008E65FD" w:rsidP="00DA1A63">
      <w:pPr>
        <w:pStyle w:val="Geenafstand"/>
        <w:rPr>
          <w:lang w:val="nl-NL"/>
        </w:rPr>
      </w:pPr>
      <w:r>
        <w:rPr>
          <w:lang w:val="nl-NL"/>
        </w:rPr>
        <w:t>Wat verder in het plaatje opvalt is dat met name in de “b</w:t>
      </w:r>
      <w:r w:rsidR="00272891">
        <w:rPr>
          <w:lang w:val="nl-NL"/>
        </w:rPr>
        <w:t>è</w:t>
      </w:r>
      <w:r>
        <w:rPr>
          <w:lang w:val="nl-NL"/>
        </w:rPr>
        <w:t xml:space="preserve">tadisciplines” </w:t>
      </w:r>
      <w:r w:rsidR="00C81AEC">
        <w:rPr>
          <w:lang w:val="nl-NL"/>
        </w:rPr>
        <w:t xml:space="preserve">(inclusief techniek) </w:t>
      </w:r>
      <w:r>
        <w:rPr>
          <w:lang w:val="nl-NL"/>
        </w:rPr>
        <w:t xml:space="preserve">Nederland minder hard stijgt dan de referentielanden, ook als China buiten beschouwing gehouden wordt. </w:t>
      </w:r>
      <w:r w:rsidR="00F64B44">
        <w:rPr>
          <w:lang w:val="nl-NL"/>
        </w:rPr>
        <w:t xml:space="preserve">Opvallendste verschillen zien we bij </w:t>
      </w:r>
      <w:r w:rsidR="00F64B44" w:rsidRPr="00F64B44">
        <w:rPr>
          <w:lang w:val="nl-NL"/>
        </w:rPr>
        <w:t>Fundamentele medische wetens</w:t>
      </w:r>
      <w:r w:rsidR="00DE74C1">
        <w:rPr>
          <w:lang w:val="nl-NL"/>
        </w:rPr>
        <w:t>c</w:t>
      </w:r>
      <w:r w:rsidR="00F64B44" w:rsidRPr="00F64B44">
        <w:rPr>
          <w:lang w:val="nl-NL"/>
        </w:rPr>
        <w:t>happen</w:t>
      </w:r>
      <w:r w:rsidR="00F64B44">
        <w:rPr>
          <w:lang w:val="nl-NL"/>
        </w:rPr>
        <w:t>, Wiskunde en Statistiek welke respectievelijk 41, 34 en 30</w:t>
      </w:r>
      <w:r w:rsidR="009E2EFB">
        <w:rPr>
          <w:lang w:val="nl-NL"/>
        </w:rPr>
        <w:t xml:space="preserve"> procentpunten</w:t>
      </w:r>
      <w:r w:rsidR="00F64B44">
        <w:rPr>
          <w:lang w:val="nl-NL"/>
        </w:rPr>
        <w:t xml:space="preserve"> minder hard gestegen zijn dan de referentielanden, zonder China. </w:t>
      </w:r>
    </w:p>
    <w:p w14:paraId="20067618" w14:textId="626097A7" w:rsidR="006C71E0" w:rsidRDefault="006C71E0" w:rsidP="00DA1A63">
      <w:pPr>
        <w:pStyle w:val="Geenafstand"/>
        <w:rPr>
          <w:lang w:val="nl-NL"/>
        </w:rPr>
      </w:pPr>
      <w:r>
        <w:rPr>
          <w:noProof/>
          <w:lang w:val="nl-NL" w:eastAsia="nl-NL"/>
        </w:rPr>
        <w:drawing>
          <wp:anchor distT="0" distB="0" distL="114300" distR="114300" simplePos="0" relativeHeight="251727872" behindDoc="0" locked="0" layoutInCell="1" allowOverlap="1" wp14:anchorId="3AC8057B" wp14:editId="4F15B175">
            <wp:simplePos x="0" y="0"/>
            <wp:positionH relativeFrom="column">
              <wp:posOffset>0</wp:posOffset>
            </wp:positionH>
            <wp:positionV relativeFrom="paragraph">
              <wp:posOffset>276225</wp:posOffset>
            </wp:positionV>
            <wp:extent cx="5732145" cy="5861685"/>
            <wp:effectExtent l="0" t="0" r="1905" b="5715"/>
            <wp:wrapTopAndBottom/>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7D13533E" w14:textId="28DDDC7E" w:rsidR="006C71E0" w:rsidRDefault="006C71E0" w:rsidP="00DA1A63">
      <w:pPr>
        <w:pStyle w:val="Geenafstand"/>
        <w:rPr>
          <w:lang w:val="nl-NL"/>
        </w:rPr>
      </w:pPr>
    </w:p>
    <w:p w14:paraId="6BD15D35" w14:textId="60B3828B" w:rsidR="00CB455A" w:rsidRDefault="00CB455A" w:rsidP="00DA1A63">
      <w:pPr>
        <w:pStyle w:val="Geenafstand"/>
        <w:rPr>
          <w:lang w:val="nl-NL"/>
        </w:rPr>
      </w:pPr>
    </w:p>
    <w:sectPr w:rsidR="00CB455A" w:rsidSect="00051406">
      <w:footerReference w:type="default" r:id="rId1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39C70" w14:textId="77777777" w:rsidR="009F7694" w:rsidRDefault="009F7694" w:rsidP="00294C6F">
      <w:pPr>
        <w:spacing w:after="0" w:line="240" w:lineRule="auto"/>
      </w:pPr>
      <w:r>
        <w:separator/>
      </w:r>
    </w:p>
  </w:endnote>
  <w:endnote w:type="continuationSeparator" w:id="0">
    <w:p w14:paraId="6A7A5449" w14:textId="77777777" w:rsidR="009F7694" w:rsidRDefault="009F7694" w:rsidP="0029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068993"/>
      <w:docPartObj>
        <w:docPartGallery w:val="Page Numbers (Bottom of Page)"/>
        <w:docPartUnique/>
      </w:docPartObj>
    </w:sdtPr>
    <w:sdtEndPr/>
    <w:sdtContent>
      <w:p w14:paraId="2CB6A2FD" w14:textId="5DD3A5D2" w:rsidR="009F7694" w:rsidRDefault="009F7694">
        <w:pPr>
          <w:pStyle w:val="Voettekst"/>
          <w:jc w:val="right"/>
        </w:pPr>
        <w:r>
          <w:fldChar w:fldCharType="begin"/>
        </w:r>
        <w:r>
          <w:instrText>PAGE   \* MERGEFORMAT</w:instrText>
        </w:r>
        <w:r>
          <w:fldChar w:fldCharType="separate"/>
        </w:r>
        <w:r w:rsidR="006C71E0" w:rsidRPr="006C71E0">
          <w:rPr>
            <w:noProof/>
            <w:lang w:val="nl-NL"/>
          </w:rPr>
          <w:t>1</w:t>
        </w:r>
        <w:r>
          <w:fldChar w:fldCharType="end"/>
        </w:r>
      </w:p>
    </w:sdtContent>
  </w:sdt>
  <w:p w14:paraId="32F93CA5" w14:textId="77777777" w:rsidR="009F7694" w:rsidRDefault="009F76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13471" w14:textId="77777777" w:rsidR="009F7694" w:rsidRDefault="009F7694" w:rsidP="00294C6F">
      <w:pPr>
        <w:spacing w:after="0" w:line="240" w:lineRule="auto"/>
      </w:pPr>
      <w:r>
        <w:separator/>
      </w:r>
    </w:p>
  </w:footnote>
  <w:footnote w:type="continuationSeparator" w:id="0">
    <w:p w14:paraId="41992275" w14:textId="77777777" w:rsidR="009F7694" w:rsidRDefault="009F7694" w:rsidP="00294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22137"/>
    <w:multiLevelType w:val="hybridMultilevel"/>
    <w:tmpl w:val="EFD21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2D24A9"/>
    <w:multiLevelType w:val="hybridMultilevel"/>
    <w:tmpl w:val="A56CC9F2"/>
    <w:lvl w:ilvl="0" w:tplc="8A623D7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nl-NL" w:vendorID="64" w:dllVersion="131078" w:nlCheck="1" w:checkStyle="0"/>
  <w:proofState w:spelling="clean"/>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63"/>
    <w:rsid w:val="00004043"/>
    <w:rsid w:val="0000789C"/>
    <w:rsid w:val="000146AD"/>
    <w:rsid w:val="000358F0"/>
    <w:rsid w:val="0005090C"/>
    <w:rsid w:val="00051406"/>
    <w:rsid w:val="000573A2"/>
    <w:rsid w:val="00057D3B"/>
    <w:rsid w:val="00064693"/>
    <w:rsid w:val="0007059F"/>
    <w:rsid w:val="000956C3"/>
    <w:rsid w:val="000A55E0"/>
    <w:rsid w:val="000A7A77"/>
    <w:rsid w:val="000B2690"/>
    <w:rsid w:val="000B36A9"/>
    <w:rsid w:val="000C452B"/>
    <w:rsid w:val="000C5DBC"/>
    <w:rsid w:val="000C66BC"/>
    <w:rsid w:val="000C6B22"/>
    <w:rsid w:val="000C73C3"/>
    <w:rsid w:val="000D57B3"/>
    <w:rsid w:val="000E74EB"/>
    <w:rsid w:val="000F6E76"/>
    <w:rsid w:val="00107AB1"/>
    <w:rsid w:val="001219D6"/>
    <w:rsid w:val="00127B24"/>
    <w:rsid w:val="001304E1"/>
    <w:rsid w:val="001332E4"/>
    <w:rsid w:val="00135D8D"/>
    <w:rsid w:val="001370DE"/>
    <w:rsid w:val="0014071C"/>
    <w:rsid w:val="00142220"/>
    <w:rsid w:val="00152E19"/>
    <w:rsid w:val="001534FE"/>
    <w:rsid w:val="00156AE6"/>
    <w:rsid w:val="001600A2"/>
    <w:rsid w:val="001639EE"/>
    <w:rsid w:val="0016566E"/>
    <w:rsid w:val="001659E6"/>
    <w:rsid w:val="00167D21"/>
    <w:rsid w:val="00187043"/>
    <w:rsid w:val="00187B79"/>
    <w:rsid w:val="00196273"/>
    <w:rsid w:val="0019703A"/>
    <w:rsid w:val="001A0455"/>
    <w:rsid w:val="001A39A0"/>
    <w:rsid w:val="001A6D05"/>
    <w:rsid w:val="001B33ED"/>
    <w:rsid w:val="001B6AC5"/>
    <w:rsid w:val="001C50BA"/>
    <w:rsid w:val="001D2C64"/>
    <w:rsid w:val="001D3D7E"/>
    <w:rsid w:val="001D3DE8"/>
    <w:rsid w:val="001E1DB3"/>
    <w:rsid w:val="001F1092"/>
    <w:rsid w:val="001F1F4B"/>
    <w:rsid w:val="001F2E1F"/>
    <w:rsid w:val="001F39B0"/>
    <w:rsid w:val="001F476F"/>
    <w:rsid w:val="0020323C"/>
    <w:rsid w:val="00211C3B"/>
    <w:rsid w:val="00220EB5"/>
    <w:rsid w:val="00223DB4"/>
    <w:rsid w:val="00230372"/>
    <w:rsid w:val="002362F6"/>
    <w:rsid w:val="002403EB"/>
    <w:rsid w:val="00241513"/>
    <w:rsid w:val="00241F82"/>
    <w:rsid w:val="00243799"/>
    <w:rsid w:val="00243F52"/>
    <w:rsid w:val="00245E18"/>
    <w:rsid w:val="00246E06"/>
    <w:rsid w:val="002530E5"/>
    <w:rsid w:val="00253D4A"/>
    <w:rsid w:val="00261310"/>
    <w:rsid w:val="00264F44"/>
    <w:rsid w:val="0026635E"/>
    <w:rsid w:val="00272891"/>
    <w:rsid w:val="00273CE6"/>
    <w:rsid w:val="002741DE"/>
    <w:rsid w:val="002802BE"/>
    <w:rsid w:val="00281546"/>
    <w:rsid w:val="00282AA1"/>
    <w:rsid w:val="00282DEF"/>
    <w:rsid w:val="002851C2"/>
    <w:rsid w:val="00285627"/>
    <w:rsid w:val="00285DA6"/>
    <w:rsid w:val="002865D6"/>
    <w:rsid w:val="00287E2A"/>
    <w:rsid w:val="002905C8"/>
    <w:rsid w:val="00291772"/>
    <w:rsid w:val="00294C6F"/>
    <w:rsid w:val="0029763F"/>
    <w:rsid w:val="002A64DE"/>
    <w:rsid w:val="002B0012"/>
    <w:rsid w:val="002B084D"/>
    <w:rsid w:val="002B094A"/>
    <w:rsid w:val="002B12FB"/>
    <w:rsid w:val="002B47D6"/>
    <w:rsid w:val="002B5FC3"/>
    <w:rsid w:val="002C7E58"/>
    <w:rsid w:val="002D5978"/>
    <w:rsid w:val="002D7401"/>
    <w:rsid w:val="002E20F5"/>
    <w:rsid w:val="002E3A51"/>
    <w:rsid w:val="002F5320"/>
    <w:rsid w:val="0030289D"/>
    <w:rsid w:val="0031380B"/>
    <w:rsid w:val="003209CB"/>
    <w:rsid w:val="003225BC"/>
    <w:rsid w:val="003241A9"/>
    <w:rsid w:val="00340302"/>
    <w:rsid w:val="003436A2"/>
    <w:rsid w:val="003439A7"/>
    <w:rsid w:val="00347405"/>
    <w:rsid w:val="00350FE5"/>
    <w:rsid w:val="00352013"/>
    <w:rsid w:val="00354926"/>
    <w:rsid w:val="00355977"/>
    <w:rsid w:val="003562E6"/>
    <w:rsid w:val="0035722F"/>
    <w:rsid w:val="00360D4B"/>
    <w:rsid w:val="003672A5"/>
    <w:rsid w:val="003725B0"/>
    <w:rsid w:val="003729B7"/>
    <w:rsid w:val="0037469B"/>
    <w:rsid w:val="0037563F"/>
    <w:rsid w:val="0038307E"/>
    <w:rsid w:val="00383E62"/>
    <w:rsid w:val="00384094"/>
    <w:rsid w:val="00385001"/>
    <w:rsid w:val="00385231"/>
    <w:rsid w:val="00386A09"/>
    <w:rsid w:val="00394ECD"/>
    <w:rsid w:val="00396382"/>
    <w:rsid w:val="00397F00"/>
    <w:rsid w:val="003A2D0D"/>
    <w:rsid w:val="003A3DFA"/>
    <w:rsid w:val="003A40EF"/>
    <w:rsid w:val="003A52CC"/>
    <w:rsid w:val="003A6176"/>
    <w:rsid w:val="003C2229"/>
    <w:rsid w:val="003C67AD"/>
    <w:rsid w:val="003D0794"/>
    <w:rsid w:val="003D6453"/>
    <w:rsid w:val="003E7E13"/>
    <w:rsid w:val="003F0D92"/>
    <w:rsid w:val="003F63ED"/>
    <w:rsid w:val="00405471"/>
    <w:rsid w:val="00416F3F"/>
    <w:rsid w:val="004173A7"/>
    <w:rsid w:val="00422348"/>
    <w:rsid w:val="00433E2E"/>
    <w:rsid w:val="0044077F"/>
    <w:rsid w:val="00440B81"/>
    <w:rsid w:val="00454C9A"/>
    <w:rsid w:val="0046352E"/>
    <w:rsid w:val="0046464E"/>
    <w:rsid w:val="00465253"/>
    <w:rsid w:val="00465CD6"/>
    <w:rsid w:val="00466AB7"/>
    <w:rsid w:val="004751F8"/>
    <w:rsid w:val="0048107D"/>
    <w:rsid w:val="0049117F"/>
    <w:rsid w:val="00495E3D"/>
    <w:rsid w:val="004B3E5F"/>
    <w:rsid w:val="004B75C3"/>
    <w:rsid w:val="004F1CA9"/>
    <w:rsid w:val="004F4820"/>
    <w:rsid w:val="005060AB"/>
    <w:rsid w:val="00522277"/>
    <w:rsid w:val="00525709"/>
    <w:rsid w:val="005331CD"/>
    <w:rsid w:val="00534638"/>
    <w:rsid w:val="00537BCF"/>
    <w:rsid w:val="005529CB"/>
    <w:rsid w:val="0055450F"/>
    <w:rsid w:val="005557F0"/>
    <w:rsid w:val="005718C3"/>
    <w:rsid w:val="00575D34"/>
    <w:rsid w:val="00582C7A"/>
    <w:rsid w:val="00586D48"/>
    <w:rsid w:val="00590831"/>
    <w:rsid w:val="005949F7"/>
    <w:rsid w:val="005967E8"/>
    <w:rsid w:val="00596EE7"/>
    <w:rsid w:val="00597CDE"/>
    <w:rsid w:val="005A04B9"/>
    <w:rsid w:val="005A63E1"/>
    <w:rsid w:val="005A655F"/>
    <w:rsid w:val="005C26E4"/>
    <w:rsid w:val="005C299F"/>
    <w:rsid w:val="005C30B8"/>
    <w:rsid w:val="005D1280"/>
    <w:rsid w:val="005D5F7E"/>
    <w:rsid w:val="005E0317"/>
    <w:rsid w:val="005E599B"/>
    <w:rsid w:val="005E630F"/>
    <w:rsid w:val="005F119C"/>
    <w:rsid w:val="005F1B10"/>
    <w:rsid w:val="005F2A3F"/>
    <w:rsid w:val="005F54FC"/>
    <w:rsid w:val="005F56DD"/>
    <w:rsid w:val="006028EC"/>
    <w:rsid w:val="00602B61"/>
    <w:rsid w:val="00605000"/>
    <w:rsid w:val="00611B2A"/>
    <w:rsid w:val="00613269"/>
    <w:rsid w:val="006135C6"/>
    <w:rsid w:val="0061705D"/>
    <w:rsid w:val="006217A1"/>
    <w:rsid w:val="0062489E"/>
    <w:rsid w:val="00631C23"/>
    <w:rsid w:val="00634D66"/>
    <w:rsid w:val="006407D0"/>
    <w:rsid w:val="00646B83"/>
    <w:rsid w:val="00663AD9"/>
    <w:rsid w:val="006715C2"/>
    <w:rsid w:val="006728FD"/>
    <w:rsid w:val="00674A04"/>
    <w:rsid w:val="00680DD9"/>
    <w:rsid w:val="00682351"/>
    <w:rsid w:val="006827D7"/>
    <w:rsid w:val="00687427"/>
    <w:rsid w:val="00687491"/>
    <w:rsid w:val="006878B1"/>
    <w:rsid w:val="00687AC1"/>
    <w:rsid w:val="00693C40"/>
    <w:rsid w:val="00694178"/>
    <w:rsid w:val="00697112"/>
    <w:rsid w:val="0069792D"/>
    <w:rsid w:val="006B0286"/>
    <w:rsid w:val="006B0691"/>
    <w:rsid w:val="006C0457"/>
    <w:rsid w:val="006C1462"/>
    <w:rsid w:val="006C36B9"/>
    <w:rsid w:val="006C641C"/>
    <w:rsid w:val="006C71E0"/>
    <w:rsid w:val="006D006D"/>
    <w:rsid w:val="006D0D9C"/>
    <w:rsid w:val="006D47D4"/>
    <w:rsid w:val="006E2B61"/>
    <w:rsid w:val="006E51F0"/>
    <w:rsid w:val="0070102B"/>
    <w:rsid w:val="00704055"/>
    <w:rsid w:val="00717A0E"/>
    <w:rsid w:val="00717FF9"/>
    <w:rsid w:val="007211A5"/>
    <w:rsid w:val="007214EE"/>
    <w:rsid w:val="00734EB3"/>
    <w:rsid w:val="007410FD"/>
    <w:rsid w:val="00743113"/>
    <w:rsid w:val="0074378A"/>
    <w:rsid w:val="007539E1"/>
    <w:rsid w:val="00756FB7"/>
    <w:rsid w:val="0075772F"/>
    <w:rsid w:val="0076049A"/>
    <w:rsid w:val="0076383F"/>
    <w:rsid w:val="00764EF1"/>
    <w:rsid w:val="00765296"/>
    <w:rsid w:val="007743D8"/>
    <w:rsid w:val="007802D5"/>
    <w:rsid w:val="00780612"/>
    <w:rsid w:val="007812E5"/>
    <w:rsid w:val="00795DF4"/>
    <w:rsid w:val="007A4F07"/>
    <w:rsid w:val="007B594C"/>
    <w:rsid w:val="007C6D23"/>
    <w:rsid w:val="007E1A66"/>
    <w:rsid w:val="007E317E"/>
    <w:rsid w:val="008020D3"/>
    <w:rsid w:val="00805C8C"/>
    <w:rsid w:val="00810E44"/>
    <w:rsid w:val="008178D3"/>
    <w:rsid w:val="008276AC"/>
    <w:rsid w:val="00837E0F"/>
    <w:rsid w:val="008432F1"/>
    <w:rsid w:val="00846A54"/>
    <w:rsid w:val="00851EA6"/>
    <w:rsid w:val="00860373"/>
    <w:rsid w:val="00860ACB"/>
    <w:rsid w:val="00860F33"/>
    <w:rsid w:val="008634D4"/>
    <w:rsid w:val="008676DA"/>
    <w:rsid w:val="008677C0"/>
    <w:rsid w:val="00872E8F"/>
    <w:rsid w:val="00873A6F"/>
    <w:rsid w:val="008853EE"/>
    <w:rsid w:val="008934CE"/>
    <w:rsid w:val="008A02B7"/>
    <w:rsid w:val="008A1432"/>
    <w:rsid w:val="008A1F7A"/>
    <w:rsid w:val="008A754D"/>
    <w:rsid w:val="008B7477"/>
    <w:rsid w:val="008C69D3"/>
    <w:rsid w:val="008D15A5"/>
    <w:rsid w:val="008D3B26"/>
    <w:rsid w:val="008E0927"/>
    <w:rsid w:val="008E0C86"/>
    <w:rsid w:val="008E398F"/>
    <w:rsid w:val="008E65FD"/>
    <w:rsid w:val="009129A0"/>
    <w:rsid w:val="00920EFE"/>
    <w:rsid w:val="0093046A"/>
    <w:rsid w:val="009338AE"/>
    <w:rsid w:val="00940772"/>
    <w:rsid w:val="00943CBC"/>
    <w:rsid w:val="00951630"/>
    <w:rsid w:val="00953FC6"/>
    <w:rsid w:val="0095653B"/>
    <w:rsid w:val="00962EED"/>
    <w:rsid w:val="00965347"/>
    <w:rsid w:val="009666E6"/>
    <w:rsid w:val="0096759F"/>
    <w:rsid w:val="00981552"/>
    <w:rsid w:val="00985671"/>
    <w:rsid w:val="00985DA2"/>
    <w:rsid w:val="009952EC"/>
    <w:rsid w:val="009967E5"/>
    <w:rsid w:val="00996E41"/>
    <w:rsid w:val="009A1B67"/>
    <w:rsid w:val="009A7E5D"/>
    <w:rsid w:val="009B3400"/>
    <w:rsid w:val="009B581B"/>
    <w:rsid w:val="009D2594"/>
    <w:rsid w:val="009E2EFB"/>
    <w:rsid w:val="009E70DC"/>
    <w:rsid w:val="009E7AD6"/>
    <w:rsid w:val="009F1446"/>
    <w:rsid w:val="009F3040"/>
    <w:rsid w:val="009F7694"/>
    <w:rsid w:val="00A00440"/>
    <w:rsid w:val="00A01A4A"/>
    <w:rsid w:val="00A01BFB"/>
    <w:rsid w:val="00A2105F"/>
    <w:rsid w:val="00A3151D"/>
    <w:rsid w:val="00A462CA"/>
    <w:rsid w:val="00A64562"/>
    <w:rsid w:val="00A725F9"/>
    <w:rsid w:val="00A76463"/>
    <w:rsid w:val="00A77847"/>
    <w:rsid w:val="00A7787A"/>
    <w:rsid w:val="00A8093E"/>
    <w:rsid w:val="00A81320"/>
    <w:rsid w:val="00A82DA8"/>
    <w:rsid w:val="00A91EED"/>
    <w:rsid w:val="00A975D5"/>
    <w:rsid w:val="00AA724D"/>
    <w:rsid w:val="00AB41E9"/>
    <w:rsid w:val="00AB7575"/>
    <w:rsid w:val="00AC635E"/>
    <w:rsid w:val="00AE2B94"/>
    <w:rsid w:val="00AF0F2E"/>
    <w:rsid w:val="00AF107F"/>
    <w:rsid w:val="00AF48C2"/>
    <w:rsid w:val="00B04004"/>
    <w:rsid w:val="00B11CDF"/>
    <w:rsid w:val="00B12ECE"/>
    <w:rsid w:val="00B30AB4"/>
    <w:rsid w:val="00B3228D"/>
    <w:rsid w:val="00B3423F"/>
    <w:rsid w:val="00B359AF"/>
    <w:rsid w:val="00B4381A"/>
    <w:rsid w:val="00B43C65"/>
    <w:rsid w:val="00B44677"/>
    <w:rsid w:val="00B51B3C"/>
    <w:rsid w:val="00B5758A"/>
    <w:rsid w:val="00B6250A"/>
    <w:rsid w:val="00B66A72"/>
    <w:rsid w:val="00B723BB"/>
    <w:rsid w:val="00B72811"/>
    <w:rsid w:val="00B750DA"/>
    <w:rsid w:val="00B75D11"/>
    <w:rsid w:val="00B7651E"/>
    <w:rsid w:val="00B81583"/>
    <w:rsid w:val="00B81BC8"/>
    <w:rsid w:val="00B81FBC"/>
    <w:rsid w:val="00B85BEE"/>
    <w:rsid w:val="00B85C86"/>
    <w:rsid w:val="00B9090E"/>
    <w:rsid w:val="00B916FC"/>
    <w:rsid w:val="00B95A75"/>
    <w:rsid w:val="00BA22B2"/>
    <w:rsid w:val="00BA5B46"/>
    <w:rsid w:val="00BB4C3E"/>
    <w:rsid w:val="00BC2033"/>
    <w:rsid w:val="00BE15FA"/>
    <w:rsid w:val="00BE16BC"/>
    <w:rsid w:val="00BE30AB"/>
    <w:rsid w:val="00BE39EC"/>
    <w:rsid w:val="00BE51D7"/>
    <w:rsid w:val="00BE5E89"/>
    <w:rsid w:val="00BF2952"/>
    <w:rsid w:val="00BF29BF"/>
    <w:rsid w:val="00BF63A1"/>
    <w:rsid w:val="00C03D99"/>
    <w:rsid w:val="00C07534"/>
    <w:rsid w:val="00C12AD9"/>
    <w:rsid w:val="00C203AE"/>
    <w:rsid w:val="00C33C13"/>
    <w:rsid w:val="00C36376"/>
    <w:rsid w:val="00C36992"/>
    <w:rsid w:val="00C43C46"/>
    <w:rsid w:val="00C45541"/>
    <w:rsid w:val="00C522CB"/>
    <w:rsid w:val="00C56A5B"/>
    <w:rsid w:val="00C60C36"/>
    <w:rsid w:val="00C64EB1"/>
    <w:rsid w:val="00C64EDD"/>
    <w:rsid w:val="00C678E4"/>
    <w:rsid w:val="00C81AEC"/>
    <w:rsid w:val="00C81B74"/>
    <w:rsid w:val="00C84EDA"/>
    <w:rsid w:val="00C85DEE"/>
    <w:rsid w:val="00C9329B"/>
    <w:rsid w:val="00C95366"/>
    <w:rsid w:val="00CA2BD0"/>
    <w:rsid w:val="00CB27E2"/>
    <w:rsid w:val="00CB455A"/>
    <w:rsid w:val="00CB4CFC"/>
    <w:rsid w:val="00CB55EC"/>
    <w:rsid w:val="00CB58D2"/>
    <w:rsid w:val="00CB5A72"/>
    <w:rsid w:val="00CC02A4"/>
    <w:rsid w:val="00CC072D"/>
    <w:rsid w:val="00CC0C8C"/>
    <w:rsid w:val="00CC3F5B"/>
    <w:rsid w:val="00CC5835"/>
    <w:rsid w:val="00CC5861"/>
    <w:rsid w:val="00CD1342"/>
    <w:rsid w:val="00CD1836"/>
    <w:rsid w:val="00CE4306"/>
    <w:rsid w:val="00D13674"/>
    <w:rsid w:val="00D20C65"/>
    <w:rsid w:val="00D24389"/>
    <w:rsid w:val="00D26605"/>
    <w:rsid w:val="00D2732B"/>
    <w:rsid w:val="00D33F49"/>
    <w:rsid w:val="00D35486"/>
    <w:rsid w:val="00D46A8B"/>
    <w:rsid w:val="00D46CB3"/>
    <w:rsid w:val="00D66538"/>
    <w:rsid w:val="00D677D6"/>
    <w:rsid w:val="00D67876"/>
    <w:rsid w:val="00D87A95"/>
    <w:rsid w:val="00D93582"/>
    <w:rsid w:val="00D941CF"/>
    <w:rsid w:val="00D94F89"/>
    <w:rsid w:val="00D973C9"/>
    <w:rsid w:val="00DA1A63"/>
    <w:rsid w:val="00DA323D"/>
    <w:rsid w:val="00DC3FF7"/>
    <w:rsid w:val="00DC4EB5"/>
    <w:rsid w:val="00DC5650"/>
    <w:rsid w:val="00DD563B"/>
    <w:rsid w:val="00DD6173"/>
    <w:rsid w:val="00DE289D"/>
    <w:rsid w:val="00DE5DC5"/>
    <w:rsid w:val="00DE74C1"/>
    <w:rsid w:val="00DE7B41"/>
    <w:rsid w:val="00DF1044"/>
    <w:rsid w:val="00DF2545"/>
    <w:rsid w:val="00DF5C86"/>
    <w:rsid w:val="00E11173"/>
    <w:rsid w:val="00E1398B"/>
    <w:rsid w:val="00E14E0E"/>
    <w:rsid w:val="00E21E67"/>
    <w:rsid w:val="00E31B3E"/>
    <w:rsid w:val="00E35975"/>
    <w:rsid w:val="00E40807"/>
    <w:rsid w:val="00E45866"/>
    <w:rsid w:val="00E65D18"/>
    <w:rsid w:val="00E6695F"/>
    <w:rsid w:val="00E72D88"/>
    <w:rsid w:val="00E74463"/>
    <w:rsid w:val="00EA2851"/>
    <w:rsid w:val="00EA6192"/>
    <w:rsid w:val="00EB6D50"/>
    <w:rsid w:val="00EC5D85"/>
    <w:rsid w:val="00ED1F77"/>
    <w:rsid w:val="00ED4977"/>
    <w:rsid w:val="00ED5FC8"/>
    <w:rsid w:val="00EE4AD3"/>
    <w:rsid w:val="00EF1268"/>
    <w:rsid w:val="00EF23A1"/>
    <w:rsid w:val="00EF3160"/>
    <w:rsid w:val="00EF3722"/>
    <w:rsid w:val="00F0602F"/>
    <w:rsid w:val="00F1302F"/>
    <w:rsid w:val="00F14914"/>
    <w:rsid w:val="00F25C26"/>
    <w:rsid w:val="00F363B6"/>
    <w:rsid w:val="00F36705"/>
    <w:rsid w:val="00F36EB9"/>
    <w:rsid w:val="00F37C38"/>
    <w:rsid w:val="00F40A97"/>
    <w:rsid w:val="00F47FC1"/>
    <w:rsid w:val="00F57E97"/>
    <w:rsid w:val="00F64B44"/>
    <w:rsid w:val="00F65D75"/>
    <w:rsid w:val="00F906E7"/>
    <w:rsid w:val="00F9518E"/>
    <w:rsid w:val="00FA74DB"/>
    <w:rsid w:val="00FC0460"/>
    <w:rsid w:val="00FC1D3B"/>
    <w:rsid w:val="00FC62B2"/>
    <w:rsid w:val="00FD0389"/>
    <w:rsid w:val="00FE5324"/>
    <w:rsid w:val="00FE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625E"/>
  <w15:chartTrackingRefBased/>
  <w15:docId w15:val="{7E3E3454-CBCD-4D40-BEBF-F421676B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A1A63"/>
    <w:pPr>
      <w:spacing w:after="0" w:line="240" w:lineRule="auto"/>
    </w:pPr>
  </w:style>
  <w:style w:type="paragraph" w:styleId="Voetnoottekst">
    <w:name w:val="footnote text"/>
    <w:basedOn w:val="Standaard"/>
    <w:link w:val="VoetnoottekstChar"/>
    <w:uiPriority w:val="99"/>
    <w:semiHidden/>
    <w:unhideWhenUsed/>
    <w:rsid w:val="00294C6F"/>
    <w:pPr>
      <w:spacing w:after="0" w:line="240" w:lineRule="auto"/>
    </w:pPr>
    <w:rPr>
      <w:szCs w:val="20"/>
    </w:rPr>
  </w:style>
  <w:style w:type="character" w:customStyle="1" w:styleId="VoetnoottekstChar">
    <w:name w:val="Voetnoottekst Char"/>
    <w:basedOn w:val="Standaardalinea-lettertype"/>
    <w:link w:val="Voetnoottekst"/>
    <w:uiPriority w:val="99"/>
    <w:semiHidden/>
    <w:rsid w:val="00294C6F"/>
    <w:rPr>
      <w:szCs w:val="20"/>
    </w:rPr>
  </w:style>
  <w:style w:type="character" w:styleId="Voetnootmarkering">
    <w:name w:val="footnote reference"/>
    <w:basedOn w:val="Standaardalinea-lettertype"/>
    <w:uiPriority w:val="99"/>
    <w:semiHidden/>
    <w:unhideWhenUsed/>
    <w:rsid w:val="00294C6F"/>
    <w:rPr>
      <w:vertAlign w:val="superscript"/>
    </w:rPr>
  </w:style>
  <w:style w:type="character" w:styleId="Hyperlink">
    <w:name w:val="Hyperlink"/>
    <w:basedOn w:val="Standaardalinea-lettertype"/>
    <w:uiPriority w:val="99"/>
    <w:unhideWhenUsed/>
    <w:rsid w:val="00294C6F"/>
    <w:rPr>
      <w:color w:val="0563C1" w:themeColor="hyperlink"/>
      <w:u w:val="single"/>
    </w:rPr>
  </w:style>
  <w:style w:type="character" w:styleId="Verwijzingopmerking">
    <w:name w:val="annotation reference"/>
    <w:basedOn w:val="Standaardalinea-lettertype"/>
    <w:uiPriority w:val="99"/>
    <w:semiHidden/>
    <w:unhideWhenUsed/>
    <w:rsid w:val="00590831"/>
    <w:rPr>
      <w:sz w:val="16"/>
      <w:szCs w:val="16"/>
    </w:rPr>
  </w:style>
  <w:style w:type="paragraph" w:styleId="Tekstopmerking">
    <w:name w:val="annotation text"/>
    <w:basedOn w:val="Standaard"/>
    <w:link w:val="TekstopmerkingChar"/>
    <w:uiPriority w:val="99"/>
    <w:semiHidden/>
    <w:unhideWhenUsed/>
    <w:rsid w:val="00590831"/>
    <w:pPr>
      <w:spacing w:line="240" w:lineRule="auto"/>
    </w:pPr>
    <w:rPr>
      <w:szCs w:val="20"/>
    </w:rPr>
  </w:style>
  <w:style w:type="character" w:customStyle="1" w:styleId="TekstopmerkingChar">
    <w:name w:val="Tekst opmerking Char"/>
    <w:basedOn w:val="Standaardalinea-lettertype"/>
    <w:link w:val="Tekstopmerking"/>
    <w:uiPriority w:val="99"/>
    <w:semiHidden/>
    <w:rsid w:val="00590831"/>
    <w:rPr>
      <w:szCs w:val="20"/>
    </w:rPr>
  </w:style>
  <w:style w:type="paragraph" w:styleId="Onderwerpvanopmerking">
    <w:name w:val="annotation subject"/>
    <w:basedOn w:val="Tekstopmerking"/>
    <w:next w:val="Tekstopmerking"/>
    <w:link w:val="OnderwerpvanopmerkingChar"/>
    <w:uiPriority w:val="99"/>
    <w:semiHidden/>
    <w:unhideWhenUsed/>
    <w:rsid w:val="00590831"/>
    <w:rPr>
      <w:b/>
      <w:bCs/>
    </w:rPr>
  </w:style>
  <w:style w:type="character" w:customStyle="1" w:styleId="OnderwerpvanopmerkingChar">
    <w:name w:val="Onderwerp van opmerking Char"/>
    <w:basedOn w:val="TekstopmerkingChar"/>
    <w:link w:val="Onderwerpvanopmerking"/>
    <w:uiPriority w:val="99"/>
    <w:semiHidden/>
    <w:rsid w:val="00590831"/>
    <w:rPr>
      <w:b/>
      <w:bCs/>
      <w:szCs w:val="20"/>
    </w:rPr>
  </w:style>
  <w:style w:type="paragraph" w:styleId="Ballontekst">
    <w:name w:val="Balloon Text"/>
    <w:basedOn w:val="Standaard"/>
    <w:link w:val="BallontekstChar"/>
    <w:uiPriority w:val="99"/>
    <w:semiHidden/>
    <w:unhideWhenUsed/>
    <w:rsid w:val="005908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0831"/>
    <w:rPr>
      <w:rFonts w:ascii="Segoe UI" w:hAnsi="Segoe UI" w:cs="Segoe UI"/>
      <w:sz w:val="18"/>
      <w:szCs w:val="18"/>
    </w:rPr>
  </w:style>
  <w:style w:type="table" w:styleId="Tabelraster">
    <w:name w:val="Table Grid"/>
    <w:basedOn w:val="Standaardtabel"/>
    <w:uiPriority w:val="39"/>
    <w:rsid w:val="00D66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211A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211A5"/>
  </w:style>
  <w:style w:type="paragraph" w:styleId="Voettekst">
    <w:name w:val="footer"/>
    <w:basedOn w:val="Standaard"/>
    <w:link w:val="VoettekstChar"/>
    <w:uiPriority w:val="99"/>
    <w:unhideWhenUsed/>
    <w:rsid w:val="007211A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211A5"/>
  </w:style>
  <w:style w:type="paragraph" w:customStyle="1" w:styleId="msonormal0">
    <w:name w:val="msonormal"/>
    <w:basedOn w:val="Standaard"/>
    <w:rsid w:val="00C0753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C07534"/>
    <w:rPr>
      <w:color w:val="800080"/>
      <w:u w:val="single"/>
    </w:rPr>
  </w:style>
  <w:style w:type="paragraph" w:styleId="Normaalweb">
    <w:name w:val="Normal (Web)"/>
    <w:basedOn w:val="Standaard"/>
    <w:uiPriority w:val="99"/>
    <w:semiHidden/>
    <w:unhideWhenUsed/>
    <w:rsid w:val="00C07534"/>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049394">
      <w:bodyDiv w:val="1"/>
      <w:marLeft w:val="0"/>
      <w:marRight w:val="0"/>
      <w:marTop w:val="0"/>
      <w:marBottom w:val="0"/>
      <w:divBdr>
        <w:top w:val="none" w:sz="0" w:space="0" w:color="auto"/>
        <w:left w:val="none" w:sz="0" w:space="0" w:color="auto"/>
        <w:bottom w:val="none" w:sz="0" w:space="0" w:color="auto"/>
        <w:right w:val="none" w:sz="0" w:space="0" w:color="auto"/>
      </w:divBdr>
    </w:div>
    <w:div w:id="1636446001">
      <w:bodyDiv w:val="1"/>
      <w:marLeft w:val="0"/>
      <w:marRight w:val="0"/>
      <w:marTop w:val="0"/>
      <w:marBottom w:val="0"/>
      <w:divBdr>
        <w:top w:val="none" w:sz="0" w:space="0" w:color="auto"/>
        <w:left w:val="none" w:sz="0" w:space="0" w:color="auto"/>
        <w:bottom w:val="none" w:sz="0" w:space="0" w:color="auto"/>
        <w:right w:val="none" w:sz="0" w:space="0" w:color="auto"/>
      </w:divBdr>
    </w:div>
    <w:div w:id="20419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ia\rathenau$\group\Microdata\Website%20Wetenschap%20in%20Cijfers\Wetenschap%20in%20Cijfers%20(WiC-NL)\Factsheets\5%20-%20Producten\Producten;%20Ontwikkeling%20onderzoeksprofiel%20Nederland\NOWT%20P%20en%20OS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ia\rathenau$\group\Microdata\Factsheets%20en%20datapublicaties\3%20-%20Producten\3.2%20Card;%20Publicaties\FC;%20Ontwikkeling%20onderzoeksprofiel%20Nederland\NOWT%20P%20en%20OSI.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b="0" i="0" baseline="0">
                <a:effectLst/>
              </a:rPr>
              <a:t>Citatie-impactscore disciplines 2016 en 2003</a:t>
            </a:r>
            <a:endParaRPr lang="nl-NL">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2"/>
          <c:order val="2"/>
          <c:tx>
            <c:strRef>
              <c:f>'Plaatje MNCS'!$E$98</c:f>
              <c:strCache>
                <c:ptCount val="1"/>
                <c:pt idx="0">
                  <c:v>2016</c:v>
                </c:pt>
              </c:strCache>
            </c:strRef>
          </c:tx>
          <c:spPr>
            <a:solidFill>
              <a:schemeClr val="accent3"/>
            </a:solidFill>
            <a:ln>
              <a:noFill/>
            </a:ln>
            <a:effectLst/>
          </c:spPr>
          <c:invertIfNegative val="0"/>
          <c:cat>
            <c:strRef>
              <c:f>'Plaatje MNCS'!$A$99:$B$131</c:f>
              <c:strCache>
                <c:ptCount val="33"/>
                <c:pt idx="0">
                  <c:v>Aardwetenschappen en technologie</c:v>
                </c:pt>
                <c:pt idx="1">
                  <c:v>Chemie en chemische technologie</c:v>
                </c:pt>
                <c:pt idx="2">
                  <c:v>Fysica en materiaalkunde</c:v>
                </c:pt>
                <c:pt idx="3">
                  <c:v>Milieuwetenschappen</c:v>
                </c:pt>
                <c:pt idx="4">
                  <c:v>Statistiek</c:v>
                </c:pt>
                <c:pt idx="5">
                  <c:v>Sterrenkunde</c:v>
                </c:pt>
                <c:pt idx="6">
                  <c:v>Wiskunde</c:v>
                </c:pt>
                <c:pt idx="8">
                  <c:v>Algemene en productie technologie</c:v>
                </c:pt>
                <c:pt idx="9">
                  <c:v>Civiele techniek</c:v>
                </c:pt>
                <c:pt idx="10">
                  <c:v>Computerwetenschappen</c:v>
                </c:pt>
                <c:pt idx="11">
                  <c:v>Electrotechniek</c:v>
                </c:pt>
                <c:pt idx="12">
                  <c:v>Energiewetenschappen</c:v>
                </c:pt>
                <c:pt idx="13">
                  <c:v>Instrumenten en instrumentarium</c:v>
                </c:pt>
                <c:pt idx="14">
                  <c:v>Werktuigbouwkunde</c:v>
                </c:pt>
                <c:pt idx="16">
                  <c:v>Landbouw- en voedingswetenschappen</c:v>
                </c:pt>
                <c:pt idx="18">
                  <c:v>Biologische wetenschappen</c:v>
                </c:pt>
                <c:pt idx="19">
                  <c:v>Biomedische wetenschappen</c:v>
                </c:pt>
                <c:pt idx="20">
                  <c:v>Fundamentele Levenswetenschappen</c:v>
                </c:pt>
                <c:pt idx="21">
                  <c:v>Fundamentele medische wetenshappen</c:v>
                </c:pt>
                <c:pt idx="22">
                  <c:v>Gezondheidswetenshappen</c:v>
                </c:pt>
                <c:pt idx="23">
                  <c:v>Klinische geneeskunde</c:v>
                </c:pt>
                <c:pt idx="25">
                  <c:v>Economische wetenshappen</c:v>
                </c:pt>
                <c:pt idx="26">
                  <c:v>Informatie en communicatiewetenschappen</c:v>
                </c:pt>
                <c:pt idx="27">
                  <c:v>Management en planning</c:v>
                </c:pt>
                <c:pt idx="28">
                  <c:v>Onderwijswetenschappen</c:v>
                </c:pt>
                <c:pt idx="29">
                  <c:v>Politieke wetenschappen</c:v>
                </c:pt>
                <c:pt idx="30">
                  <c:v>Psychologische wetenschappen</c:v>
                </c:pt>
                <c:pt idx="31">
                  <c:v>Sociale en gedragswet. - interdisciplinair</c:v>
                </c:pt>
                <c:pt idx="32">
                  <c:v>Sociologie en antropologie</c:v>
                </c:pt>
              </c:strCache>
            </c:strRef>
          </c:cat>
          <c:val>
            <c:numRef>
              <c:f>'Plaatje MNCS'!$E$99:$E$131</c:f>
              <c:numCache>
                <c:formatCode>General</c:formatCode>
                <c:ptCount val="33"/>
                <c:pt idx="0">
                  <c:v>1.39941727961829</c:v>
                </c:pt>
                <c:pt idx="1">
                  <c:v>1.49154477288248</c:v>
                </c:pt>
                <c:pt idx="2">
                  <c:v>1.43410994556932</c:v>
                </c:pt>
                <c:pt idx="3">
                  <c:v>1.5295543487230301</c:v>
                </c:pt>
                <c:pt idx="4">
                  <c:v>1.0389075780829999</c:v>
                </c:pt>
                <c:pt idx="5">
                  <c:v>1.28670929908798</c:v>
                </c:pt>
                <c:pt idx="6">
                  <c:v>0.97531555288309202</c:v>
                </c:pt>
                <c:pt idx="8">
                  <c:v>1.30039209129274</c:v>
                </c:pt>
                <c:pt idx="9">
                  <c:v>1.31015107681835</c:v>
                </c:pt>
                <c:pt idx="10">
                  <c:v>1.10862665212792</c:v>
                </c:pt>
                <c:pt idx="11">
                  <c:v>1.17701582596534</c:v>
                </c:pt>
                <c:pt idx="12">
                  <c:v>1.39209063174848</c:v>
                </c:pt>
                <c:pt idx="13">
                  <c:v>0.95332289748639998</c:v>
                </c:pt>
                <c:pt idx="14">
                  <c:v>1.1218146043498101</c:v>
                </c:pt>
                <c:pt idx="16">
                  <c:v>1.30329921262944</c:v>
                </c:pt>
                <c:pt idx="18">
                  <c:v>1.46954491038274</c:v>
                </c:pt>
                <c:pt idx="19">
                  <c:v>1.24283617087857</c:v>
                </c:pt>
                <c:pt idx="20">
                  <c:v>1.4566724965915401</c:v>
                </c:pt>
                <c:pt idx="21">
                  <c:v>1.12170247226666</c:v>
                </c:pt>
                <c:pt idx="22">
                  <c:v>1.0946821208695801</c:v>
                </c:pt>
                <c:pt idx="23">
                  <c:v>1.3707727531842</c:v>
                </c:pt>
                <c:pt idx="25">
                  <c:v>1.2619150727484301</c:v>
                </c:pt>
                <c:pt idx="26">
                  <c:v>1.3763879577167799</c:v>
                </c:pt>
                <c:pt idx="27">
                  <c:v>1.2553969478565501</c:v>
                </c:pt>
                <c:pt idx="28">
                  <c:v>1.1173217710173</c:v>
                </c:pt>
                <c:pt idx="29">
                  <c:v>1.5363357599494001</c:v>
                </c:pt>
                <c:pt idx="30">
                  <c:v>1.2648785333499</c:v>
                </c:pt>
                <c:pt idx="31">
                  <c:v>1.0992935940464099</c:v>
                </c:pt>
                <c:pt idx="32">
                  <c:v>1.2430955547995901</c:v>
                </c:pt>
              </c:numCache>
            </c:numRef>
          </c:val>
          <c:extLst>
            <c:ext xmlns:c16="http://schemas.microsoft.com/office/drawing/2014/chart" uri="{C3380CC4-5D6E-409C-BE32-E72D297353CC}">
              <c16:uniqueId val="{00000000-CA12-4AD2-860F-4D84688D93F2}"/>
            </c:ext>
          </c:extLst>
        </c:ser>
        <c:dLbls>
          <c:showLegendKey val="0"/>
          <c:showVal val="0"/>
          <c:showCatName val="0"/>
          <c:showSerName val="0"/>
          <c:showPercent val="0"/>
          <c:showBubbleSize val="0"/>
        </c:dLbls>
        <c:gapWidth val="219"/>
        <c:axId val="459250352"/>
        <c:axId val="459250768"/>
      </c:barChart>
      <c:lineChart>
        <c:grouping val="standard"/>
        <c:varyColors val="0"/>
        <c:ser>
          <c:idx val="0"/>
          <c:order val="0"/>
          <c:tx>
            <c:strRef>
              <c:f>'Plaatje MNCS'!$C$98</c:f>
              <c:strCache>
                <c:ptCount val="1"/>
                <c:pt idx="0">
                  <c:v>Mondiaal gemiddelde</c:v>
                </c:pt>
              </c:strCache>
            </c:strRef>
          </c:tx>
          <c:spPr>
            <a:ln w="28575" cap="rnd">
              <a:solidFill>
                <a:schemeClr val="accent1"/>
              </a:solidFill>
              <a:round/>
            </a:ln>
            <a:effectLst/>
          </c:spPr>
          <c:marker>
            <c:symbol val="none"/>
          </c:marker>
          <c:cat>
            <c:strRef>
              <c:f>'Plaatje MNCS'!$A$99:$B$131</c:f>
              <c:strCache>
                <c:ptCount val="33"/>
                <c:pt idx="0">
                  <c:v>Aardwetenschappen en technologie</c:v>
                </c:pt>
                <c:pt idx="1">
                  <c:v>Chemie en chemische technologie</c:v>
                </c:pt>
                <c:pt idx="2">
                  <c:v>Fysica en materiaalkunde</c:v>
                </c:pt>
                <c:pt idx="3">
                  <c:v>Milieuwetenschappen</c:v>
                </c:pt>
                <c:pt idx="4">
                  <c:v>Statistiek</c:v>
                </c:pt>
                <c:pt idx="5">
                  <c:v>Sterrenkunde</c:v>
                </c:pt>
                <c:pt idx="6">
                  <c:v>Wiskunde</c:v>
                </c:pt>
                <c:pt idx="8">
                  <c:v>Algemene en productie technologie</c:v>
                </c:pt>
                <c:pt idx="9">
                  <c:v>Civiele techniek</c:v>
                </c:pt>
                <c:pt idx="10">
                  <c:v>Computerwetenschappen</c:v>
                </c:pt>
                <c:pt idx="11">
                  <c:v>Electrotechniek</c:v>
                </c:pt>
                <c:pt idx="12">
                  <c:v>Energiewetenschappen</c:v>
                </c:pt>
                <c:pt idx="13">
                  <c:v>Instrumenten en instrumentarium</c:v>
                </c:pt>
                <c:pt idx="14">
                  <c:v>Werktuigbouwkunde</c:v>
                </c:pt>
                <c:pt idx="16">
                  <c:v>Landbouw- en voedingswetenschappen</c:v>
                </c:pt>
                <c:pt idx="18">
                  <c:v>Biologische wetenschappen</c:v>
                </c:pt>
                <c:pt idx="19">
                  <c:v>Biomedische wetenschappen</c:v>
                </c:pt>
                <c:pt idx="20">
                  <c:v>Fundamentele Levenswetenschappen</c:v>
                </c:pt>
                <c:pt idx="21">
                  <c:v>Fundamentele medische wetenshappen</c:v>
                </c:pt>
                <c:pt idx="22">
                  <c:v>Gezondheidswetenshappen</c:v>
                </c:pt>
                <c:pt idx="23">
                  <c:v>Klinische geneeskunde</c:v>
                </c:pt>
                <c:pt idx="25">
                  <c:v>Economische wetenshappen</c:v>
                </c:pt>
                <c:pt idx="26">
                  <c:v>Informatie en communicatiewetenschappen</c:v>
                </c:pt>
                <c:pt idx="27">
                  <c:v>Management en planning</c:v>
                </c:pt>
                <c:pt idx="28">
                  <c:v>Onderwijswetenschappen</c:v>
                </c:pt>
                <c:pt idx="29">
                  <c:v>Politieke wetenschappen</c:v>
                </c:pt>
                <c:pt idx="30">
                  <c:v>Psychologische wetenschappen</c:v>
                </c:pt>
                <c:pt idx="31">
                  <c:v>Sociale en gedragswet. - interdisciplinair</c:v>
                </c:pt>
                <c:pt idx="32">
                  <c:v>Sociologie en antropologie</c:v>
                </c:pt>
              </c:strCache>
            </c:strRef>
          </c:cat>
          <c:val>
            <c:numRef>
              <c:f>'Plaatje MNCS'!$C$99:$C$131</c:f>
              <c:numCache>
                <c:formatCode>General</c:formatCode>
                <c:ptCount val="33"/>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numCache>
            </c:numRef>
          </c:val>
          <c:smooth val="0"/>
          <c:extLst>
            <c:ext xmlns:c16="http://schemas.microsoft.com/office/drawing/2014/chart" uri="{C3380CC4-5D6E-409C-BE32-E72D297353CC}">
              <c16:uniqueId val="{00000001-CA12-4AD2-860F-4D84688D93F2}"/>
            </c:ext>
          </c:extLst>
        </c:ser>
        <c:ser>
          <c:idx val="1"/>
          <c:order val="1"/>
          <c:tx>
            <c:strRef>
              <c:f>'Plaatje MNCS'!$D$98</c:f>
              <c:strCache>
                <c:ptCount val="1"/>
                <c:pt idx="0">
                  <c:v>2003</c:v>
                </c:pt>
              </c:strCache>
            </c:strRef>
          </c:tx>
          <c:spPr>
            <a:ln w="28575" cap="rnd">
              <a:noFill/>
              <a:round/>
            </a:ln>
            <a:effectLst/>
          </c:spPr>
          <c:marker>
            <c:symbol val="circle"/>
            <c:size val="5"/>
            <c:spPr>
              <a:solidFill>
                <a:schemeClr val="tx1"/>
              </a:solidFill>
              <a:ln w="9525">
                <a:noFill/>
              </a:ln>
              <a:effectLst/>
            </c:spPr>
          </c:marker>
          <c:cat>
            <c:strRef>
              <c:f>'Plaatje MNCS'!$A$99:$B$131</c:f>
              <c:strCache>
                <c:ptCount val="33"/>
                <c:pt idx="0">
                  <c:v>Aardwetenschappen en technologie</c:v>
                </c:pt>
                <c:pt idx="1">
                  <c:v>Chemie en chemische technologie</c:v>
                </c:pt>
                <c:pt idx="2">
                  <c:v>Fysica en materiaalkunde</c:v>
                </c:pt>
                <c:pt idx="3">
                  <c:v>Milieuwetenschappen</c:v>
                </c:pt>
                <c:pt idx="4">
                  <c:v>Statistiek</c:v>
                </c:pt>
                <c:pt idx="5">
                  <c:v>Sterrenkunde</c:v>
                </c:pt>
                <c:pt idx="6">
                  <c:v>Wiskunde</c:v>
                </c:pt>
                <c:pt idx="8">
                  <c:v>Algemene en productie technologie</c:v>
                </c:pt>
                <c:pt idx="9">
                  <c:v>Civiele techniek</c:v>
                </c:pt>
                <c:pt idx="10">
                  <c:v>Computerwetenschappen</c:v>
                </c:pt>
                <c:pt idx="11">
                  <c:v>Electrotechniek</c:v>
                </c:pt>
                <c:pt idx="12">
                  <c:v>Energiewetenschappen</c:v>
                </c:pt>
                <c:pt idx="13">
                  <c:v>Instrumenten en instrumentarium</c:v>
                </c:pt>
                <c:pt idx="14">
                  <c:v>Werktuigbouwkunde</c:v>
                </c:pt>
                <c:pt idx="16">
                  <c:v>Landbouw- en voedingswetenschappen</c:v>
                </c:pt>
                <c:pt idx="18">
                  <c:v>Biologische wetenschappen</c:v>
                </c:pt>
                <c:pt idx="19">
                  <c:v>Biomedische wetenschappen</c:v>
                </c:pt>
                <c:pt idx="20">
                  <c:v>Fundamentele Levenswetenschappen</c:v>
                </c:pt>
                <c:pt idx="21">
                  <c:v>Fundamentele medische wetenshappen</c:v>
                </c:pt>
                <c:pt idx="22">
                  <c:v>Gezondheidswetenshappen</c:v>
                </c:pt>
                <c:pt idx="23">
                  <c:v>Klinische geneeskunde</c:v>
                </c:pt>
                <c:pt idx="25">
                  <c:v>Economische wetenshappen</c:v>
                </c:pt>
                <c:pt idx="26">
                  <c:v>Informatie en communicatiewetenschappen</c:v>
                </c:pt>
                <c:pt idx="27">
                  <c:v>Management en planning</c:v>
                </c:pt>
                <c:pt idx="28">
                  <c:v>Onderwijswetenschappen</c:v>
                </c:pt>
                <c:pt idx="29">
                  <c:v>Politieke wetenschappen</c:v>
                </c:pt>
                <c:pt idx="30">
                  <c:v>Psychologische wetenschappen</c:v>
                </c:pt>
                <c:pt idx="31">
                  <c:v>Sociale en gedragswet. - interdisciplinair</c:v>
                </c:pt>
                <c:pt idx="32">
                  <c:v>Sociologie en antropologie</c:v>
                </c:pt>
              </c:strCache>
            </c:strRef>
          </c:cat>
          <c:val>
            <c:numRef>
              <c:f>'Plaatje MNCS'!$D$99:$D$131</c:f>
              <c:numCache>
                <c:formatCode>General</c:formatCode>
                <c:ptCount val="33"/>
                <c:pt idx="0">
                  <c:v>1.26285492789728</c:v>
                </c:pt>
                <c:pt idx="1">
                  <c:v>1.61774420280635</c:v>
                </c:pt>
                <c:pt idx="2">
                  <c:v>1.48045512702579</c:v>
                </c:pt>
                <c:pt idx="3">
                  <c:v>1.44073592794565</c:v>
                </c:pt>
                <c:pt idx="4">
                  <c:v>0.98319103279262299</c:v>
                </c:pt>
                <c:pt idx="5">
                  <c:v>1.28592856949479</c:v>
                </c:pt>
                <c:pt idx="6">
                  <c:v>1.19300418873007</c:v>
                </c:pt>
                <c:pt idx="8">
                  <c:v>1.26653894777939</c:v>
                </c:pt>
                <c:pt idx="9">
                  <c:v>0.84111704528561704</c:v>
                </c:pt>
                <c:pt idx="10">
                  <c:v>1.23886301235156</c:v>
                </c:pt>
                <c:pt idx="11">
                  <c:v>1.3289126677023499</c:v>
                </c:pt>
                <c:pt idx="12">
                  <c:v>0.99200098362706302</c:v>
                </c:pt>
                <c:pt idx="13">
                  <c:v>1.2199941970881301</c:v>
                </c:pt>
                <c:pt idx="14">
                  <c:v>1.12083412873065</c:v>
                </c:pt>
                <c:pt idx="16">
                  <c:v>1.3242266380432799</c:v>
                </c:pt>
                <c:pt idx="18">
                  <c:v>1.26476506705484</c:v>
                </c:pt>
                <c:pt idx="19">
                  <c:v>1.08802658562391</c:v>
                </c:pt>
                <c:pt idx="20">
                  <c:v>1.45822543723729</c:v>
                </c:pt>
                <c:pt idx="21">
                  <c:v>1.21572199411875</c:v>
                </c:pt>
                <c:pt idx="22">
                  <c:v>0.85622111541361501</c:v>
                </c:pt>
                <c:pt idx="23">
                  <c:v>1.2327667085491101</c:v>
                </c:pt>
                <c:pt idx="25">
                  <c:v>0.99692901238051501</c:v>
                </c:pt>
                <c:pt idx="26">
                  <c:v>1.26305641951895</c:v>
                </c:pt>
                <c:pt idx="27">
                  <c:v>1.11913709227103</c:v>
                </c:pt>
                <c:pt idx="28">
                  <c:v>1.0520517178458899</c:v>
                </c:pt>
                <c:pt idx="29">
                  <c:v>1.0450846057993399</c:v>
                </c:pt>
                <c:pt idx="30">
                  <c:v>0.92755944654851796</c:v>
                </c:pt>
                <c:pt idx="31">
                  <c:v>0.75302471251498104</c:v>
                </c:pt>
                <c:pt idx="32">
                  <c:v>0.73424565059001501</c:v>
                </c:pt>
              </c:numCache>
            </c:numRef>
          </c:val>
          <c:smooth val="0"/>
          <c:extLst>
            <c:ext xmlns:c16="http://schemas.microsoft.com/office/drawing/2014/chart" uri="{C3380CC4-5D6E-409C-BE32-E72D297353CC}">
              <c16:uniqueId val="{00000002-CA12-4AD2-860F-4D84688D93F2}"/>
            </c:ext>
          </c:extLst>
        </c:ser>
        <c:dLbls>
          <c:showLegendKey val="0"/>
          <c:showVal val="0"/>
          <c:showCatName val="0"/>
          <c:showSerName val="0"/>
          <c:showPercent val="0"/>
          <c:showBubbleSize val="0"/>
        </c:dLbls>
        <c:marker val="1"/>
        <c:smooth val="0"/>
        <c:axId val="459250352"/>
        <c:axId val="459250768"/>
      </c:lineChart>
      <c:catAx>
        <c:axId val="45925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59250768"/>
        <c:crosses val="autoZero"/>
        <c:auto val="1"/>
        <c:lblAlgn val="ctr"/>
        <c:lblOffset val="100"/>
        <c:noMultiLvlLbl val="0"/>
      </c:catAx>
      <c:valAx>
        <c:axId val="459250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59250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800" b="0" i="0" baseline="0">
                <a:effectLst/>
              </a:rPr>
              <a:t>% stijging aantal publicaties 2003-2016</a:t>
            </a:r>
            <a:endParaRPr lang="nl-NL">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'P en OSI NOWT frac'!$C$286</c:f>
              <c:strCache>
                <c:ptCount val="1"/>
                <c:pt idx="0">
                  <c:v>% stijging NL</c:v>
                </c:pt>
              </c:strCache>
            </c:strRef>
          </c:tx>
          <c:spPr>
            <a:solidFill>
              <a:schemeClr val="accent1"/>
            </a:solidFill>
            <a:ln>
              <a:noFill/>
            </a:ln>
            <a:effectLst/>
          </c:spPr>
          <c:invertIfNegative val="0"/>
          <c:cat>
            <c:strRef>
              <c:f>'P en OSI NOWT frac'!$A$287:$B$319</c:f>
              <c:strCache>
                <c:ptCount val="33"/>
                <c:pt idx="0">
                  <c:v>Aardwetenschappen en technologie</c:v>
                </c:pt>
                <c:pt idx="1">
                  <c:v>Chemie en chemische technologie</c:v>
                </c:pt>
                <c:pt idx="2">
                  <c:v>Fysica en materiaalkunde</c:v>
                </c:pt>
                <c:pt idx="3">
                  <c:v>Milieuwetenschappen</c:v>
                </c:pt>
                <c:pt idx="4">
                  <c:v>Statistiek</c:v>
                </c:pt>
                <c:pt idx="5">
                  <c:v>Sterrenkunde</c:v>
                </c:pt>
                <c:pt idx="6">
                  <c:v>Wiskunde</c:v>
                </c:pt>
                <c:pt idx="8">
                  <c:v>Algemene en productie technologie</c:v>
                </c:pt>
                <c:pt idx="9">
                  <c:v>Civiele techniek</c:v>
                </c:pt>
                <c:pt idx="10">
                  <c:v>Computerwetenschappen</c:v>
                </c:pt>
                <c:pt idx="11">
                  <c:v>Electrotechniek</c:v>
                </c:pt>
                <c:pt idx="12">
                  <c:v>Energiewetenschappen</c:v>
                </c:pt>
                <c:pt idx="13">
                  <c:v>Instrumenten en instrumentarium</c:v>
                </c:pt>
                <c:pt idx="14">
                  <c:v>Werktuigbouwkunde</c:v>
                </c:pt>
                <c:pt idx="16">
                  <c:v>Landbouw- en voedingswetenschappen</c:v>
                </c:pt>
                <c:pt idx="18">
                  <c:v>Biologische wetenschappen</c:v>
                </c:pt>
                <c:pt idx="19">
                  <c:v>Biomedische wetenschappen</c:v>
                </c:pt>
                <c:pt idx="20">
                  <c:v>Fundamentele Levenswetenschappen</c:v>
                </c:pt>
                <c:pt idx="21">
                  <c:v>Fundamentele medische wetenshappen</c:v>
                </c:pt>
                <c:pt idx="22">
                  <c:v>Gezondheidswetenshappen</c:v>
                </c:pt>
                <c:pt idx="23">
                  <c:v>Klinische geneeskunde</c:v>
                </c:pt>
                <c:pt idx="25">
                  <c:v>Economische wetenshappen</c:v>
                </c:pt>
                <c:pt idx="26">
                  <c:v>Informatie en communicatiewetenschappen</c:v>
                </c:pt>
                <c:pt idx="27">
                  <c:v>Management en planning</c:v>
                </c:pt>
                <c:pt idx="28">
                  <c:v>Onderwijswetenschappen</c:v>
                </c:pt>
                <c:pt idx="29">
                  <c:v>Politieke wetenschappen</c:v>
                </c:pt>
                <c:pt idx="30">
                  <c:v>Psychologische wetenschappen</c:v>
                </c:pt>
                <c:pt idx="31">
                  <c:v>Sociale en gedragswet. - interdisciplinair</c:v>
                </c:pt>
                <c:pt idx="32">
                  <c:v>Sociologie en antropologie</c:v>
                </c:pt>
              </c:strCache>
            </c:strRef>
          </c:cat>
          <c:val>
            <c:numRef>
              <c:f>'P en OSI NOWT frac'!$C$287:$C$319</c:f>
              <c:numCache>
                <c:formatCode>0.0</c:formatCode>
                <c:ptCount val="33"/>
                <c:pt idx="0">
                  <c:v>56.464890719051212</c:v>
                </c:pt>
                <c:pt idx="1">
                  <c:v>10.186370187154271</c:v>
                </c:pt>
                <c:pt idx="2">
                  <c:v>9.5861713212711983</c:v>
                </c:pt>
                <c:pt idx="3">
                  <c:v>155.45509134559151</c:v>
                </c:pt>
                <c:pt idx="4">
                  <c:v>36.586558604085354</c:v>
                </c:pt>
                <c:pt idx="5">
                  <c:v>34.559354793868295</c:v>
                </c:pt>
                <c:pt idx="6">
                  <c:v>5.0745382548603724</c:v>
                </c:pt>
                <c:pt idx="8">
                  <c:v>57.985966412625835</c:v>
                </c:pt>
                <c:pt idx="9">
                  <c:v>187.33315177856937</c:v>
                </c:pt>
                <c:pt idx="10">
                  <c:v>-8.0850224617951767</c:v>
                </c:pt>
                <c:pt idx="11">
                  <c:v>89.466356604832271</c:v>
                </c:pt>
                <c:pt idx="12">
                  <c:v>121.18777316668582</c:v>
                </c:pt>
                <c:pt idx="13">
                  <c:v>24.301855078045385</c:v>
                </c:pt>
                <c:pt idx="14">
                  <c:v>45.762604451252621</c:v>
                </c:pt>
                <c:pt idx="16" formatCode="General">
                  <c:v>51.580543065268401</c:v>
                </c:pt>
                <c:pt idx="18">
                  <c:v>31.294151287817186</c:v>
                </c:pt>
                <c:pt idx="19">
                  <c:v>61.930158558134416</c:v>
                </c:pt>
                <c:pt idx="20">
                  <c:v>28.549837903303299</c:v>
                </c:pt>
                <c:pt idx="21">
                  <c:v>103.32957987025777</c:v>
                </c:pt>
                <c:pt idx="22">
                  <c:v>255.94089931983285</c:v>
                </c:pt>
                <c:pt idx="23">
                  <c:v>76.593376062850524</c:v>
                </c:pt>
                <c:pt idx="25">
                  <c:v>118.89225333175632</c:v>
                </c:pt>
                <c:pt idx="26">
                  <c:v>250.25201459068995</c:v>
                </c:pt>
                <c:pt idx="27">
                  <c:v>167.44132714351898</c:v>
                </c:pt>
                <c:pt idx="28">
                  <c:v>300.04934941841219</c:v>
                </c:pt>
                <c:pt idx="29">
                  <c:v>317.75895664379033</c:v>
                </c:pt>
                <c:pt idx="30">
                  <c:v>159.28185340688771</c:v>
                </c:pt>
                <c:pt idx="31">
                  <c:v>217.87646759048673</c:v>
                </c:pt>
                <c:pt idx="32">
                  <c:v>223.03422803758784</c:v>
                </c:pt>
              </c:numCache>
            </c:numRef>
          </c:val>
          <c:extLst>
            <c:ext xmlns:c16="http://schemas.microsoft.com/office/drawing/2014/chart" uri="{C3380CC4-5D6E-409C-BE32-E72D297353CC}">
              <c16:uniqueId val="{00000000-48CF-4185-8BAD-8A94DBF983D8}"/>
            </c:ext>
          </c:extLst>
        </c:ser>
        <c:dLbls>
          <c:showLegendKey val="0"/>
          <c:showVal val="0"/>
          <c:showCatName val="0"/>
          <c:showSerName val="0"/>
          <c:showPercent val="0"/>
          <c:showBubbleSize val="0"/>
        </c:dLbls>
        <c:gapWidth val="219"/>
        <c:overlap val="-27"/>
        <c:axId val="499903744"/>
        <c:axId val="499904992"/>
      </c:barChart>
      <c:lineChart>
        <c:grouping val="standard"/>
        <c:varyColors val="0"/>
        <c:ser>
          <c:idx val="1"/>
          <c:order val="1"/>
          <c:tx>
            <c:strRef>
              <c:f>'P en OSI NOWT frac'!$D$286</c:f>
              <c:strCache>
                <c:ptCount val="1"/>
                <c:pt idx="0">
                  <c:v>% stijging referentielanden</c:v>
                </c:pt>
              </c:strCache>
            </c:strRef>
          </c:tx>
          <c:spPr>
            <a:ln w="28575" cap="rnd">
              <a:noFill/>
              <a:round/>
            </a:ln>
            <a:effectLst/>
          </c:spPr>
          <c:marker>
            <c:symbol val="triangle"/>
            <c:size val="7"/>
            <c:spPr>
              <a:solidFill>
                <a:schemeClr val="tx1"/>
              </a:solidFill>
              <a:ln w="9525">
                <a:noFill/>
              </a:ln>
              <a:effectLst/>
            </c:spPr>
          </c:marker>
          <c:cat>
            <c:strRef>
              <c:f>'P en OSI NOWT frac'!$A$287:$B$319</c:f>
              <c:strCache>
                <c:ptCount val="33"/>
                <c:pt idx="0">
                  <c:v>Aardwetenschappen en technologie</c:v>
                </c:pt>
                <c:pt idx="1">
                  <c:v>Chemie en chemische technologie</c:v>
                </c:pt>
                <c:pt idx="2">
                  <c:v>Fysica en materiaalkunde</c:v>
                </c:pt>
                <c:pt idx="3">
                  <c:v>Milieuwetenschappen</c:v>
                </c:pt>
                <c:pt idx="4">
                  <c:v>Statistiek</c:v>
                </c:pt>
                <c:pt idx="5">
                  <c:v>Sterrenkunde</c:v>
                </c:pt>
                <c:pt idx="6">
                  <c:v>Wiskunde</c:v>
                </c:pt>
                <c:pt idx="8">
                  <c:v>Algemene en productie technologie</c:v>
                </c:pt>
                <c:pt idx="9">
                  <c:v>Civiele techniek</c:v>
                </c:pt>
                <c:pt idx="10">
                  <c:v>Computerwetenschappen</c:v>
                </c:pt>
                <c:pt idx="11">
                  <c:v>Electrotechniek</c:v>
                </c:pt>
                <c:pt idx="12">
                  <c:v>Energiewetenschappen</c:v>
                </c:pt>
                <c:pt idx="13">
                  <c:v>Instrumenten en instrumentarium</c:v>
                </c:pt>
                <c:pt idx="14">
                  <c:v>Werktuigbouwkunde</c:v>
                </c:pt>
                <c:pt idx="16">
                  <c:v>Landbouw- en voedingswetenschappen</c:v>
                </c:pt>
                <c:pt idx="18">
                  <c:v>Biologische wetenschappen</c:v>
                </c:pt>
                <c:pt idx="19">
                  <c:v>Biomedische wetenschappen</c:v>
                </c:pt>
                <c:pt idx="20">
                  <c:v>Fundamentele Levenswetenschappen</c:v>
                </c:pt>
                <c:pt idx="21">
                  <c:v>Fundamentele medische wetenshappen</c:v>
                </c:pt>
                <c:pt idx="22">
                  <c:v>Gezondheidswetenshappen</c:v>
                </c:pt>
                <c:pt idx="23">
                  <c:v>Klinische geneeskunde</c:v>
                </c:pt>
                <c:pt idx="25">
                  <c:v>Economische wetenshappen</c:v>
                </c:pt>
                <c:pt idx="26">
                  <c:v>Informatie en communicatiewetenschappen</c:v>
                </c:pt>
                <c:pt idx="27">
                  <c:v>Management en planning</c:v>
                </c:pt>
                <c:pt idx="28">
                  <c:v>Onderwijswetenschappen</c:v>
                </c:pt>
                <c:pt idx="29">
                  <c:v>Politieke wetenschappen</c:v>
                </c:pt>
                <c:pt idx="30">
                  <c:v>Psychologische wetenschappen</c:v>
                </c:pt>
                <c:pt idx="31">
                  <c:v>Sociale en gedragswet. - interdisciplinair</c:v>
                </c:pt>
                <c:pt idx="32">
                  <c:v>Sociologie en antropologie</c:v>
                </c:pt>
              </c:strCache>
            </c:strRef>
          </c:cat>
          <c:val>
            <c:numRef>
              <c:f>'P en OSI NOWT frac'!$D$287:$D$319</c:f>
              <c:numCache>
                <c:formatCode>0.0</c:formatCode>
                <c:ptCount val="33"/>
                <c:pt idx="0">
                  <c:v>97.921600092600428</c:v>
                </c:pt>
                <c:pt idx="1">
                  <c:v>86.423274646549402</c:v>
                </c:pt>
                <c:pt idx="2">
                  <c:v>68.524500547581255</c:v>
                </c:pt>
                <c:pt idx="3">
                  <c:v>159.5398625216348</c:v>
                </c:pt>
                <c:pt idx="4">
                  <c:v>88.943258694696922</c:v>
                </c:pt>
                <c:pt idx="5">
                  <c:v>34.222045310059279</c:v>
                </c:pt>
                <c:pt idx="6">
                  <c:v>84.261543487650314</c:v>
                </c:pt>
                <c:pt idx="8">
                  <c:v>138.82353222888622</c:v>
                </c:pt>
                <c:pt idx="9">
                  <c:v>226.5204196766195</c:v>
                </c:pt>
                <c:pt idx="10">
                  <c:v>46.098998347482436</c:v>
                </c:pt>
                <c:pt idx="11">
                  <c:v>146.69612580068846</c:v>
                </c:pt>
                <c:pt idx="12">
                  <c:v>236.6141979311156</c:v>
                </c:pt>
                <c:pt idx="13">
                  <c:v>100.40351091617001</c:v>
                </c:pt>
                <c:pt idx="14">
                  <c:v>101.34006682072183</c:v>
                </c:pt>
                <c:pt idx="16" formatCode="General">
                  <c:v>86.989699855909436</c:v>
                </c:pt>
                <c:pt idx="18">
                  <c:v>63.487642027140168</c:v>
                </c:pt>
                <c:pt idx="19">
                  <c:v>57.649401379889007</c:v>
                </c:pt>
                <c:pt idx="20">
                  <c:v>46.642894793652154</c:v>
                </c:pt>
                <c:pt idx="21">
                  <c:v>221.12241144538936</c:v>
                </c:pt>
                <c:pt idx="22">
                  <c:v>140.27564591611892</c:v>
                </c:pt>
                <c:pt idx="23">
                  <c:v>68.773926200251026</c:v>
                </c:pt>
                <c:pt idx="25">
                  <c:v>113.88062718918989</c:v>
                </c:pt>
                <c:pt idx="26">
                  <c:v>131.90996210890194</c:v>
                </c:pt>
                <c:pt idx="27">
                  <c:v>130.12070052919432</c:v>
                </c:pt>
                <c:pt idx="28">
                  <c:v>129.40162011238473</c:v>
                </c:pt>
                <c:pt idx="29">
                  <c:v>97.027253480876368</c:v>
                </c:pt>
                <c:pt idx="30">
                  <c:v>99.140564900410766</c:v>
                </c:pt>
                <c:pt idx="31">
                  <c:v>136.66845832642358</c:v>
                </c:pt>
                <c:pt idx="32">
                  <c:v>114.79025534763076</c:v>
                </c:pt>
              </c:numCache>
            </c:numRef>
          </c:val>
          <c:smooth val="0"/>
          <c:extLst>
            <c:ext xmlns:c16="http://schemas.microsoft.com/office/drawing/2014/chart" uri="{C3380CC4-5D6E-409C-BE32-E72D297353CC}">
              <c16:uniqueId val="{00000001-48CF-4185-8BAD-8A94DBF983D8}"/>
            </c:ext>
          </c:extLst>
        </c:ser>
        <c:ser>
          <c:idx val="2"/>
          <c:order val="2"/>
          <c:tx>
            <c:strRef>
              <c:f>'P en OSI NOWT frac'!$E$286</c:f>
              <c:strCache>
                <c:ptCount val="1"/>
                <c:pt idx="0">
                  <c:v>% stijging ref landen zonder china</c:v>
                </c:pt>
              </c:strCache>
            </c:strRef>
          </c:tx>
          <c:spPr>
            <a:ln w="28575" cap="rnd">
              <a:noFill/>
              <a:round/>
            </a:ln>
            <a:effectLst/>
          </c:spPr>
          <c:marker>
            <c:symbol val="circle"/>
            <c:size val="5"/>
            <c:spPr>
              <a:solidFill>
                <a:schemeClr val="accent3"/>
              </a:solidFill>
              <a:ln w="9525">
                <a:noFill/>
              </a:ln>
              <a:effectLst/>
            </c:spPr>
          </c:marker>
          <c:cat>
            <c:strRef>
              <c:f>'P en OSI NOWT frac'!$A$287:$B$319</c:f>
              <c:strCache>
                <c:ptCount val="33"/>
                <c:pt idx="0">
                  <c:v>Aardwetenschappen en technologie</c:v>
                </c:pt>
                <c:pt idx="1">
                  <c:v>Chemie en chemische technologie</c:v>
                </c:pt>
                <c:pt idx="2">
                  <c:v>Fysica en materiaalkunde</c:v>
                </c:pt>
                <c:pt idx="3">
                  <c:v>Milieuwetenschappen</c:v>
                </c:pt>
                <c:pt idx="4">
                  <c:v>Statistiek</c:v>
                </c:pt>
                <c:pt idx="5">
                  <c:v>Sterrenkunde</c:v>
                </c:pt>
                <c:pt idx="6">
                  <c:v>Wiskunde</c:v>
                </c:pt>
                <c:pt idx="8">
                  <c:v>Algemene en productie technologie</c:v>
                </c:pt>
                <c:pt idx="9">
                  <c:v>Civiele techniek</c:v>
                </c:pt>
                <c:pt idx="10">
                  <c:v>Computerwetenschappen</c:v>
                </c:pt>
                <c:pt idx="11">
                  <c:v>Electrotechniek</c:v>
                </c:pt>
                <c:pt idx="12">
                  <c:v>Energiewetenschappen</c:v>
                </c:pt>
                <c:pt idx="13">
                  <c:v>Instrumenten en instrumentarium</c:v>
                </c:pt>
                <c:pt idx="14">
                  <c:v>Werktuigbouwkunde</c:v>
                </c:pt>
                <c:pt idx="16">
                  <c:v>Landbouw- en voedingswetenschappen</c:v>
                </c:pt>
                <c:pt idx="18">
                  <c:v>Biologische wetenschappen</c:v>
                </c:pt>
                <c:pt idx="19">
                  <c:v>Biomedische wetenschappen</c:v>
                </c:pt>
                <c:pt idx="20">
                  <c:v>Fundamentele Levenswetenschappen</c:v>
                </c:pt>
                <c:pt idx="21">
                  <c:v>Fundamentele medische wetenshappen</c:v>
                </c:pt>
                <c:pt idx="22">
                  <c:v>Gezondheidswetenshappen</c:v>
                </c:pt>
                <c:pt idx="23">
                  <c:v>Klinische geneeskunde</c:v>
                </c:pt>
                <c:pt idx="25">
                  <c:v>Economische wetenshappen</c:v>
                </c:pt>
                <c:pt idx="26">
                  <c:v>Informatie en communicatiewetenschappen</c:v>
                </c:pt>
                <c:pt idx="27">
                  <c:v>Management en planning</c:v>
                </c:pt>
                <c:pt idx="28">
                  <c:v>Onderwijswetenschappen</c:v>
                </c:pt>
                <c:pt idx="29">
                  <c:v>Politieke wetenschappen</c:v>
                </c:pt>
                <c:pt idx="30">
                  <c:v>Psychologische wetenschappen</c:v>
                </c:pt>
                <c:pt idx="31">
                  <c:v>Sociale en gedragswet. - interdisciplinair</c:v>
                </c:pt>
                <c:pt idx="32">
                  <c:v>Sociologie en antropologie</c:v>
                </c:pt>
              </c:strCache>
            </c:strRef>
          </c:cat>
          <c:val>
            <c:numRef>
              <c:f>'P en OSI NOWT frac'!$E$287:$E$319</c:f>
              <c:numCache>
                <c:formatCode>0</c:formatCode>
                <c:ptCount val="33"/>
                <c:pt idx="0">
                  <c:v>62.831289532678269</c:v>
                </c:pt>
                <c:pt idx="1">
                  <c:v>28.218145622262035</c:v>
                </c:pt>
                <c:pt idx="2">
                  <c:v>23.240393897799283</c:v>
                </c:pt>
                <c:pt idx="3">
                  <c:v>111.25038236260511</c:v>
                </c:pt>
                <c:pt idx="4">
                  <c:v>66.053652509149046</c:v>
                </c:pt>
                <c:pt idx="5">
                  <c:v>26.643068415181006</c:v>
                </c:pt>
                <c:pt idx="6">
                  <c:v>39.034483065293671</c:v>
                </c:pt>
                <c:pt idx="8">
                  <c:v>63.192064790380712</c:v>
                </c:pt>
                <c:pt idx="9">
                  <c:v>166.48358465924446</c:v>
                </c:pt>
                <c:pt idx="10">
                  <c:v>5.9983942523927913</c:v>
                </c:pt>
                <c:pt idx="11">
                  <c:v>74.938730947122266</c:v>
                </c:pt>
                <c:pt idx="12">
                  <c:v>141.43558853514739</c:v>
                </c:pt>
                <c:pt idx="13">
                  <c:v>48.099912285021929</c:v>
                </c:pt>
                <c:pt idx="14">
                  <c:v>42.818949642615237</c:v>
                </c:pt>
                <c:pt idx="16">
                  <c:v>46.117516056636745</c:v>
                </c:pt>
                <c:pt idx="18">
                  <c:v>38.568378080639107</c:v>
                </c:pt>
                <c:pt idx="19">
                  <c:v>29.780737431327253</c:v>
                </c:pt>
                <c:pt idx="20">
                  <c:v>18.732926927351222</c:v>
                </c:pt>
                <c:pt idx="21">
                  <c:v>144.6558875836586</c:v>
                </c:pt>
                <c:pt idx="22">
                  <c:v>134.51119330145471</c:v>
                </c:pt>
                <c:pt idx="23">
                  <c:v>51.100424853969528</c:v>
                </c:pt>
                <c:pt idx="25">
                  <c:v>103.30821700071566</c:v>
                </c:pt>
                <c:pt idx="26">
                  <c:v>119.60984022670829</c:v>
                </c:pt>
                <c:pt idx="27">
                  <c:v>118.267120009862</c:v>
                </c:pt>
                <c:pt idx="28">
                  <c:v>125.49871092229812</c:v>
                </c:pt>
                <c:pt idx="29">
                  <c:v>94.792797021999206</c:v>
                </c:pt>
                <c:pt idx="30">
                  <c:v>94.213402899578142</c:v>
                </c:pt>
                <c:pt idx="31">
                  <c:v>131.08909948183359</c:v>
                </c:pt>
                <c:pt idx="32">
                  <c:v>109.83117732358387</c:v>
                </c:pt>
              </c:numCache>
            </c:numRef>
          </c:val>
          <c:smooth val="0"/>
          <c:extLst>
            <c:ext xmlns:c16="http://schemas.microsoft.com/office/drawing/2014/chart" uri="{C3380CC4-5D6E-409C-BE32-E72D297353CC}">
              <c16:uniqueId val="{00000002-48CF-4185-8BAD-8A94DBF983D8}"/>
            </c:ext>
          </c:extLst>
        </c:ser>
        <c:dLbls>
          <c:showLegendKey val="0"/>
          <c:showVal val="0"/>
          <c:showCatName val="0"/>
          <c:showSerName val="0"/>
          <c:showPercent val="0"/>
          <c:showBubbleSize val="0"/>
        </c:dLbls>
        <c:marker val="1"/>
        <c:smooth val="0"/>
        <c:axId val="499903744"/>
        <c:axId val="499904992"/>
      </c:lineChart>
      <c:catAx>
        <c:axId val="49990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9904992"/>
        <c:crosses val="autoZero"/>
        <c:auto val="1"/>
        <c:lblAlgn val="ctr"/>
        <c:lblOffset val="100"/>
        <c:noMultiLvlLbl val="0"/>
      </c:catAx>
      <c:valAx>
        <c:axId val="499904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9903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B6A1-BB3D-48A6-A499-A5C08FA3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428</Words>
  <Characters>2356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KNAW</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van den Broek-Honingh</dc:creator>
  <cp:keywords/>
  <dc:description/>
  <cp:lastModifiedBy>Nelleke van den Broek-Honingh</cp:lastModifiedBy>
  <cp:revision>4</cp:revision>
  <cp:lastPrinted>2018-12-07T09:28:00Z</cp:lastPrinted>
  <dcterms:created xsi:type="dcterms:W3CDTF">2018-12-11T13:37:00Z</dcterms:created>
  <dcterms:modified xsi:type="dcterms:W3CDTF">2019-01-31T12:47:00Z</dcterms:modified>
</cp:coreProperties>
</file>