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0C318" w14:textId="2893A436" w:rsidR="006407D0" w:rsidRPr="006407D0" w:rsidRDefault="00DC5650" w:rsidP="00DA1A63">
      <w:pPr>
        <w:pStyle w:val="NoSpacing"/>
        <w:rPr>
          <w:b/>
          <w:lang w:val="nl-NL"/>
        </w:rPr>
      </w:pPr>
      <w:r>
        <w:rPr>
          <w:b/>
          <w:lang w:val="nl-NL"/>
        </w:rPr>
        <w:t>Bijlage</w:t>
      </w:r>
      <w:r w:rsidR="00F65D75">
        <w:rPr>
          <w:b/>
          <w:lang w:val="nl-NL"/>
        </w:rPr>
        <w:t xml:space="preserve"> bij factsheet </w:t>
      </w:r>
      <w:r w:rsidR="00F65D75" w:rsidRPr="00F65D75">
        <w:rPr>
          <w:b/>
          <w:lang w:val="nl-NL"/>
        </w:rPr>
        <w:t xml:space="preserve">Ontwikkeling van het wetenschappelijk </w:t>
      </w:r>
      <w:proofErr w:type="spellStart"/>
      <w:r w:rsidR="00F65D75" w:rsidRPr="00F65D75">
        <w:rPr>
          <w:b/>
          <w:lang w:val="nl-NL"/>
        </w:rPr>
        <w:t>onderzoeksprofiel</w:t>
      </w:r>
      <w:proofErr w:type="spellEnd"/>
      <w:r w:rsidR="00F65D75" w:rsidRPr="00F65D75">
        <w:rPr>
          <w:b/>
          <w:lang w:val="nl-NL"/>
        </w:rPr>
        <w:t xml:space="preserve"> van Nederland</w:t>
      </w:r>
      <w:r w:rsidR="00F65D75">
        <w:rPr>
          <w:b/>
          <w:lang w:val="nl-NL"/>
        </w:rPr>
        <w:t xml:space="preserve"> -</w:t>
      </w:r>
      <w:r w:rsidR="006407D0" w:rsidRPr="006407D0">
        <w:rPr>
          <w:b/>
          <w:lang w:val="nl-NL"/>
        </w:rPr>
        <w:t>Ontwikkeling van disciplines</w:t>
      </w:r>
    </w:p>
    <w:p w14:paraId="06F8E2C2" w14:textId="77777777" w:rsidR="00F65D75" w:rsidRDefault="00F65D75" w:rsidP="00DA1A63">
      <w:pPr>
        <w:pStyle w:val="NoSpacing"/>
        <w:rPr>
          <w:lang w:val="nl-NL"/>
        </w:rPr>
      </w:pPr>
    </w:p>
    <w:p w14:paraId="2AD96A14" w14:textId="2B02014E" w:rsidR="00A76463" w:rsidRDefault="00837E0F" w:rsidP="00DA1A63">
      <w:pPr>
        <w:pStyle w:val="NoSpacing"/>
        <w:rPr>
          <w:lang w:val="nl-NL"/>
        </w:rPr>
      </w:pPr>
      <w:r>
        <w:rPr>
          <w:lang w:val="nl-NL"/>
        </w:rPr>
        <w:t xml:space="preserve">Sommige </w:t>
      </w:r>
      <w:r w:rsidR="00DE74C1">
        <w:rPr>
          <w:lang w:val="nl-NL"/>
        </w:rPr>
        <w:t>wetenschaps</w:t>
      </w:r>
      <w:r>
        <w:rPr>
          <w:lang w:val="nl-NL"/>
        </w:rPr>
        <w:t xml:space="preserve">gebieden omvatten veel verschillende disciplines. Om op een meer gedetailleerd niveau iets te kunnen zeggen, zijn ook gegevens opgevraagd van de </w:t>
      </w:r>
      <w:r w:rsidR="00B9090E">
        <w:rPr>
          <w:lang w:val="nl-NL"/>
        </w:rPr>
        <w:t>disciplines</w:t>
      </w:r>
      <w:r>
        <w:rPr>
          <w:lang w:val="nl-NL"/>
        </w:rPr>
        <w:t xml:space="preserve">. Deze </w:t>
      </w:r>
      <w:r w:rsidR="00B9090E" w:rsidRPr="00B9090E">
        <w:rPr>
          <w:lang w:val="nl-NL"/>
        </w:rPr>
        <w:t xml:space="preserve">disciplines </w:t>
      </w:r>
      <w:r>
        <w:rPr>
          <w:lang w:val="nl-NL"/>
        </w:rPr>
        <w:t xml:space="preserve">zijn niet vertaalbaar naar de gebieden, maar geven </w:t>
      </w:r>
      <w:r w:rsidR="00EF3722">
        <w:rPr>
          <w:lang w:val="nl-NL"/>
        </w:rPr>
        <w:t xml:space="preserve">wel </w:t>
      </w:r>
      <w:r>
        <w:rPr>
          <w:lang w:val="nl-NL"/>
        </w:rPr>
        <w:t>een gedetailleerder beeld</w:t>
      </w:r>
      <w:r w:rsidR="00272891">
        <w:rPr>
          <w:lang w:val="nl-NL"/>
        </w:rPr>
        <w:t xml:space="preserve"> van het Nederlandse </w:t>
      </w:r>
      <w:proofErr w:type="spellStart"/>
      <w:r w:rsidR="00272891">
        <w:rPr>
          <w:lang w:val="nl-NL"/>
        </w:rPr>
        <w:t>onderzoekslandschap</w:t>
      </w:r>
      <w:proofErr w:type="spellEnd"/>
      <w:r>
        <w:rPr>
          <w:lang w:val="nl-NL"/>
        </w:rPr>
        <w:t xml:space="preserve">. </w:t>
      </w:r>
    </w:p>
    <w:p w14:paraId="63D886F7" w14:textId="1974AF24" w:rsidR="00BE30AB" w:rsidRDefault="00BE30AB" w:rsidP="00DA1A63">
      <w:pPr>
        <w:pStyle w:val="NoSpacing"/>
        <w:rPr>
          <w:lang w:val="nl-NL"/>
        </w:rPr>
      </w:pPr>
    </w:p>
    <w:p w14:paraId="7CA969A2" w14:textId="7715ED88" w:rsidR="00D93582" w:rsidRDefault="00BE30AB" w:rsidP="00DA1A63">
      <w:pPr>
        <w:pStyle w:val="NoSpacing"/>
        <w:rPr>
          <w:lang w:val="nl-NL"/>
        </w:rPr>
      </w:pPr>
      <w:r w:rsidRPr="00BE30AB">
        <w:rPr>
          <w:lang w:val="nl-NL"/>
        </w:rPr>
        <w:t>In onderstaande figuur is per discipline de citatie-i</w:t>
      </w:r>
      <w:r w:rsidR="0078138E">
        <w:rPr>
          <w:lang w:val="nl-NL"/>
        </w:rPr>
        <w:t>mpactscore weergegeven voor 2018</w:t>
      </w:r>
      <w:r w:rsidRPr="00BE30AB">
        <w:rPr>
          <w:lang w:val="nl-NL"/>
        </w:rPr>
        <w:t xml:space="preserve">. Verder is met een bolletje aangegeven wat de score was in 2003. </w:t>
      </w:r>
      <w:r w:rsidR="00AF0F2E">
        <w:rPr>
          <w:lang w:val="nl-NL"/>
        </w:rPr>
        <w:t>W</w:t>
      </w:r>
      <w:r w:rsidRPr="00BE30AB">
        <w:rPr>
          <w:lang w:val="nl-NL"/>
        </w:rPr>
        <w:t xml:space="preserve">e </w:t>
      </w:r>
      <w:r w:rsidR="00AF0F2E">
        <w:rPr>
          <w:lang w:val="nl-NL"/>
        </w:rPr>
        <w:t>zien</w:t>
      </w:r>
      <w:r w:rsidRPr="00BE30AB">
        <w:rPr>
          <w:lang w:val="nl-NL"/>
        </w:rPr>
        <w:t xml:space="preserve"> dat Nederland het heel goed doet. Voor bijna alle disciplines komt de waarde (ruim) boven de 1,0 uit (het mondiale gemiddelde). </w:t>
      </w:r>
      <w:r w:rsidR="00D93582" w:rsidRPr="00D93582">
        <w:rPr>
          <w:lang w:val="nl-NL"/>
        </w:rPr>
        <w:t>Alleen Wiskunde en Instrumente</w:t>
      </w:r>
      <w:r w:rsidR="00B54BFA">
        <w:rPr>
          <w:lang w:val="nl-NL"/>
        </w:rPr>
        <w:t xml:space="preserve">n en instrumentarium scoren </w:t>
      </w:r>
      <w:r w:rsidR="00D93582" w:rsidRPr="00D93582">
        <w:rPr>
          <w:lang w:val="nl-NL"/>
        </w:rPr>
        <w:t>onder het wereldgemiddelde. Door de jaren heen zien we bij beide in de eerste periode een waarde van rond de 1,2, maar de laatste jaren beweegt de citatie-impactscore zich rond de 1,0.</w:t>
      </w:r>
    </w:p>
    <w:p w14:paraId="1EBAD97F" w14:textId="77777777" w:rsidR="00D93582" w:rsidRDefault="00D93582" w:rsidP="00DA1A63">
      <w:pPr>
        <w:pStyle w:val="NoSpacing"/>
        <w:rPr>
          <w:lang w:val="nl-NL"/>
        </w:rPr>
      </w:pPr>
    </w:p>
    <w:p w14:paraId="2C6FBDD6" w14:textId="31E3528A" w:rsidR="00BE30AB" w:rsidRDefault="00BE30AB" w:rsidP="00DA1A63">
      <w:pPr>
        <w:pStyle w:val="NoSpacing"/>
        <w:rPr>
          <w:lang w:val="nl-NL"/>
        </w:rPr>
      </w:pPr>
      <w:r w:rsidRPr="00BE30AB">
        <w:rPr>
          <w:lang w:val="nl-NL"/>
        </w:rPr>
        <w:t xml:space="preserve">In de figuur is te zien dat voor de landbouw, </w:t>
      </w:r>
      <w:r w:rsidR="00AF0F2E">
        <w:rPr>
          <w:lang w:val="nl-NL"/>
        </w:rPr>
        <w:t>“</w:t>
      </w:r>
      <w:proofErr w:type="spellStart"/>
      <w:r w:rsidR="00B54BFA">
        <w:rPr>
          <w:lang w:val="nl-NL"/>
        </w:rPr>
        <w:t>gezondheids</w:t>
      </w:r>
      <w:proofErr w:type="spellEnd"/>
      <w:r w:rsidR="00AF0F2E">
        <w:rPr>
          <w:lang w:val="nl-NL"/>
        </w:rPr>
        <w:t>”</w:t>
      </w:r>
      <w:r w:rsidRPr="00BE30AB">
        <w:rPr>
          <w:lang w:val="nl-NL"/>
        </w:rPr>
        <w:t xml:space="preserve"> en </w:t>
      </w:r>
      <w:r w:rsidR="00AF0F2E">
        <w:rPr>
          <w:lang w:val="nl-NL"/>
        </w:rPr>
        <w:t>“</w:t>
      </w:r>
      <w:r w:rsidR="00B54BFA">
        <w:rPr>
          <w:lang w:val="nl-NL"/>
        </w:rPr>
        <w:t>sociale</w:t>
      </w:r>
      <w:r w:rsidR="00AF0F2E">
        <w:rPr>
          <w:lang w:val="nl-NL"/>
        </w:rPr>
        <w:t>”</w:t>
      </w:r>
      <w:r w:rsidRPr="00BE30AB">
        <w:rPr>
          <w:lang w:val="nl-NL"/>
        </w:rPr>
        <w:t>-wetenschappen de citatie-impactscore stijgt of ongeveer gelijk blijft. Bij de “bètawetenschappen” zien we een gemengder beeld</w:t>
      </w:r>
      <w:r w:rsidR="00586D48">
        <w:rPr>
          <w:lang w:val="nl-NL"/>
        </w:rPr>
        <w:t xml:space="preserve"> met stijgers en dalers</w:t>
      </w:r>
      <w:r w:rsidRPr="00BE30AB">
        <w:rPr>
          <w:lang w:val="nl-NL"/>
        </w:rPr>
        <w:t xml:space="preserve">. </w:t>
      </w:r>
      <w:r w:rsidR="00D93582">
        <w:rPr>
          <w:lang w:val="nl-NL"/>
        </w:rPr>
        <w:t xml:space="preserve">Er zijn vier disciplines waar de citatie-impactscore meer dan 10% gedaald is: </w:t>
      </w:r>
      <w:r w:rsidR="00B54BFA">
        <w:rPr>
          <w:lang w:val="nl-NL"/>
        </w:rPr>
        <w:t xml:space="preserve">Fysica en materiaalkunde, </w:t>
      </w:r>
      <w:r w:rsidR="00D93582">
        <w:rPr>
          <w:lang w:val="nl-NL"/>
        </w:rPr>
        <w:t>Comput</w:t>
      </w:r>
      <w:r w:rsidR="00B54BFA">
        <w:rPr>
          <w:lang w:val="nl-NL"/>
        </w:rPr>
        <w:t>erwetenschappen</w:t>
      </w:r>
      <w:r w:rsidR="00D93582">
        <w:rPr>
          <w:lang w:val="nl-NL"/>
        </w:rPr>
        <w:t xml:space="preserve">, Wiskunde en Instrumenten en instrumentarium. </w:t>
      </w:r>
    </w:p>
    <w:p w14:paraId="71C74C91" w14:textId="0830B9FB" w:rsidR="00AB7575" w:rsidRDefault="00AB7575" w:rsidP="00DA1A63">
      <w:pPr>
        <w:pStyle w:val="NoSpacing"/>
        <w:rPr>
          <w:lang w:val="nl-NL"/>
        </w:rPr>
      </w:pPr>
    </w:p>
    <w:p w14:paraId="7EDABF21" w14:textId="5949685F" w:rsidR="00187043" w:rsidRPr="00187043" w:rsidRDefault="00B54BFA" w:rsidP="00BF63A1">
      <w:pPr>
        <w:pStyle w:val="NoSpacing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7035DFA0" wp14:editId="605DCBC4">
            <wp:extent cx="5732145" cy="5638800"/>
            <wp:effectExtent l="0" t="0" r="190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5B82E3" w14:textId="61EAD3E1" w:rsidR="00187043" w:rsidRDefault="00187043" w:rsidP="00187043">
      <w:pPr>
        <w:pStyle w:val="NoSpacing"/>
        <w:rPr>
          <w:lang w:val="nl-NL"/>
        </w:rPr>
      </w:pPr>
    </w:p>
    <w:p w14:paraId="1137A32B" w14:textId="3E52781C" w:rsidR="00F64B44" w:rsidRDefault="00AB7575" w:rsidP="00DA1A63">
      <w:pPr>
        <w:pStyle w:val="NoSpacing"/>
        <w:rPr>
          <w:lang w:val="nl-NL"/>
        </w:rPr>
      </w:pPr>
      <w:r>
        <w:rPr>
          <w:lang w:val="nl-NL"/>
        </w:rPr>
        <w:lastRenderedPageBreak/>
        <w:t xml:space="preserve">In onderstaande figuur is de procentuele stijging te zien van het aantal publicaties per </w:t>
      </w:r>
      <w:r w:rsidR="009967E5">
        <w:rPr>
          <w:lang w:val="nl-NL"/>
        </w:rPr>
        <w:t>discipline</w:t>
      </w:r>
      <w:r w:rsidR="0078138E">
        <w:rPr>
          <w:lang w:val="nl-NL"/>
        </w:rPr>
        <w:t>, over de periode 2003-2018</w:t>
      </w:r>
      <w:r>
        <w:rPr>
          <w:lang w:val="nl-NL"/>
        </w:rPr>
        <w:t xml:space="preserve">. Te zien is dat er een grote variëteit bestaat. Waar </w:t>
      </w:r>
      <w:r w:rsidR="00CC0C8C">
        <w:rPr>
          <w:lang w:val="nl-NL"/>
        </w:rPr>
        <w:t>Politieke Wetenscha</w:t>
      </w:r>
      <w:r w:rsidR="004820ED">
        <w:rPr>
          <w:lang w:val="nl-NL"/>
        </w:rPr>
        <w:t>ppen gestegen is met meer dan 45</w:t>
      </w:r>
      <w:r w:rsidR="00CC0C8C">
        <w:rPr>
          <w:lang w:val="nl-NL"/>
        </w:rPr>
        <w:t>0%</w:t>
      </w:r>
      <w:r>
        <w:rPr>
          <w:lang w:val="nl-NL"/>
        </w:rPr>
        <w:t xml:space="preserve">, </w:t>
      </w:r>
      <w:r w:rsidR="004820ED">
        <w:rPr>
          <w:lang w:val="nl-NL"/>
        </w:rPr>
        <w:t>is Wiskunde slechts gestegen met 22%</w:t>
      </w:r>
      <w:r>
        <w:rPr>
          <w:lang w:val="nl-NL"/>
        </w:rPr>
        <w:t xml:space="preserve">. In de figuur zijn ook de procentuele stijgingen van de referentielanden met en zonder China opgenomen. Dan zien we dat de stijging bij </w:t>
      </w:r>
      <w:r w:rsidR="00CC0C8C">
        <w:rPr>
          <w:lang w:val="nl-NL"/>
        </w:rPr>
        <w:t xml:space="preserve">Politieke Wetenschappen </w:t>
      </w:r>
      <w:r>
        <w:rPr>
          <w:lang w:val="nl-NL"/>
        </w:rPr>
        <w:t xml:space="preserve">inderdaad opvallend is. </w:t>
      </w:r>
      <w:r w:rsidR="00F64B44">
        <w:rPr>
          <w:lang w:val="nl-NL"/>
        </w:rPr>
        <w:t xml:space="preserve">De opvallendste stijgingen zien we </w:t>
      </w:r>
      <w:r w:rsidR="0046464E">
        <w:rPr>
          <w:lang w:val="nl-NL"/>
        </w:rPr>
        <w:t>naast</w:t>
      </w:r>
      <w:r w:rsidR="00F64B44">
        <w:rPr>
          <w:lang w:val="nl-NL"/>
        </w:rPr>
        <w:t xml:space="preserve"> Politieke Wetenschappen </w:t>
      </w:r>
      <w:r w:rsidR="0046464E">
        <w:rPr>
          <w:lang w:val="nl-NL"/>
        </w:rPr>
        <w:t>bij</w:t>
      </w:r>
      <w:r w:rsidR="00F64B44">
        <w:rPr>
          <w:lang w:val="nl-NL"/>
        </w:rPr>
        <w:t xml:space="preserve"> </w:t>
      </w:r>
      <w:r w:rsidR="00F64B44" w:rsidRPr="00F64B44">
        <w:rPr>
          <w:lang w:val="nl-NL"/>
        </w:rPr>
        <w:t>Onderwijswetenschappen</w:t>
      </w:r>
      <w:r w:rsidR="0046464E">
        <w:rPr>
          <w:lang w:val="nl-NL"/>
        </w:rPr>
        <w:t>.</w:t>
      </w:r>
      <w:r w:rsidR="00F64B44">
        <w:rPr>
          <w:lang w:val="nl-NL"/>
        </w:rPr>
        <w:t xml:space="preserve"> </w:t>
      </w:r>
    </w:p>
    <w:p w14:paraId="4866C549" w14:textId="5A002A99" w:rsidR="008E65FD" w:rsidRDefault="008E65FD" w:rsidP="00DA1A63">
      <w:pPr>
        <w:pStyle w:val="NoSpacing"/>
        <w:rPr>
          <w:lang w:val="nl-NL"/>
        </w:rPr>
      </w:pPr>
      <w:r>
        <w:rPr>
          <w:lang w:val="nl-NL"/>
        </w:rPr>
        <w:t>Wat verder in het plaatje opvalt is dat met name in de “b</w:t>
      </w:r>
      <w:r w:rsidR="00272891">
        <w:rPr>
          <w:lang w:val="nl-NL"/>
        </w:rPr>
        <w:t>è</w:t>
      </w:r>
      <w:r>
        <w:rPr>
          <w:lang w:val="nl-NL"/>
        </w:rPr>
        <w:t xml:space="preserve">tadisciplines” </w:t>
      </w:r>
      <w:r w:rsidR="004820ED">
        <w:rPr>
          <w:lang w:val="nl-NL"/>
        </w:rPr>
        <w:t>(Natuur en Techniek</w:t>
      </w:r>
      <w:r w:rsidR="00C81AEC">
        <w:rPr>
          <w:lang w:val="nl-NL"/>
        </w:rPr>
        <w:t xml:space="preserve">) </w:t>
      </w:r>
      <w:r>
        <w:rPr>
          <w:lang w:val="nl-NL"/>
        </w:rPr>
        <w:t xml:space="preserve">Nederland minder hard stijgt dan de referentielanden, ook als China buiten beschouwing gehouden wordt. </w:t>
      </w:r>
      <w:bookmarkStart w:id="0" w:name="_GoBack"/>
      <w:bookmarkEnd w:id="0"/>
      <w:r w:rsidR="00F64B44">
        <w:rPr>
          <w:lang w:val="nl-NL"/>
        </w:rPr>
        <w:t xml:space="preserve"> </w:t>
      </w:r>
    </w:p>
    <w:p w14:paraId="20067618" w14:textId="25B6BD65" w:rsidR="006C71E0" w:rsidRDefault="004820ED" w:rsidP="00DA1A63">
      <w:pPr>
        <w:pStyle w:val="NoSpacing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6E8C8C21" wp14:editId="0BA683AB">
            <wp:extent cx="5732145" cy="6324600"/>
            <wp:effectExtent l="0" t="0" r="19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13533E" w14:textId="28DDDC7E" w:rsidR="006C71E0" w:rsidRDefault="006C71E0" w:rsidP="00DA1A63">
      <w:pPr>
        <w:pStyle w:val="NoSpacing"/>
        <w:rPr>
          <w:lang w:val="nl-NL"/>
        </w:rPr>
      </w:pPr>
    </w:p>
    <w:p w14:paraId="6BD15D35" w14:textId="60B3828B" w:rsidR="00CB455A" w:rsidRDefault="00CB455A" w:rsidP="00DA1A63">
      <w:pPr>
        <w:pStyle w:val="NoSpacing"/>
        <w:rPr>
          <w:lang w:val="nl-NL"/>
        </w:rPr>
      </w:pPr>
    </w:p>
    <w:sectPr w:rsidR="00CB455A" w:rsidSect="00051406"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39C70" w14:textId="77777777" w:rsidR="009F7694" w:rsidRDefault="009F7694" w:rsidP="00294C6F">
      <w:pPr>
        <w:spacing w:after="0" w:line="240" w:lineRule="auto"/>
      </w:pPr>
      <w:r>
        <w:separator/>
      </w:r>
    </w:p>
  </w:endnote>
  <w:endnote w:type="continuationSeparator" w:id="0">
    <w:p w14:paraId="6A7A5449" w14:textId="77777777" w:rsidR="009F7694" w:rsidRDefault="009F7694" w:rsidP="0029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68993"/>
      <w:docPartObj>
        <w:docPartGallery w:val="Page Numbers (Bottom of Page)"/>
        <w:docPartUnique/>
      </w:docPartObj>
    </w:sdtPr>
    <w:sdtEndPr/>
    <w:sdtContent>
      <w:p w14:paraId="2CB6A2FD" w14:textId="5596F859" w:rsidR="009F7694" w:rsidRDefault="009F76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ED" w:rsidRPr="004820ED">
          <w:rPr>
            <w:noProof/>
            <w:lang w:val="nl-NL"/>
          </w:rPr>
          <w:t>2</w:t>
        </w:r>
        <w:r>
          <w:fldChar w:fldCharType="end"/>
        </w:r>
      </w:p>
    </w:sdtContent>
  </w:sdt>
  <w:p w14:paraId="32F93CA5" w14:textId="77777777" w:rsidR="009F7694" w:rsidRDefault="009F7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3471" w14:textId="77777777" w:rsidR="009F7694" w:rsidRDefault="009F7694" w:rsidP="00294C6F">
      <w:pPr>
        <w:spacing w:after="0" w:line="240" w:lineRule="auto"/>
      </w:pPr>
      <w:r>
        <w:separator/>
      </w:r>
    </w:p>
  </w:footnote>
  <w:footnote w:type="continuationSeparator" w:id="0">
    <w:p w14:paraId="41992275" w14:textId="77777777" w:rsidR="009F7694" w:rsidRDefault="009F7694" w:rsidP="0029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22137"/>
    <w:multiLevelType w:val="hybridMultilevel"/>
    <w:tmpl w:val="EFD21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D24A9"/>
    <w:multiLevelType w:val="hybridMultilevel"/>
    <w:tmpl w:val="A56CC9F2"/>
    <w:lvl w:ilvl="0" w:tplc="8A623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nl-NL" w:vendorID="64" w:dllVersion="131078" w:nlCheck="1" w:checkStyle="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63"/>
    <w:rsid w:val="00004043"/>
    <w:rsid w:val="0000789C"/>
    <w:rsid w:val="000146AD"/>
    <w:rsid w:val="000358F0"/>
    <w:rsid w:val="0005090C"/>
    <w:rsid w:val="00051406"/>
    <w:rsid w:val="000573A2"/>
    <w:rsid w:val="00057D3B"/>
    <w:rsid w:val="00064693"/>
    <w:rsid w:val="0007059F"/>
    <w:rsid w:val="000956C3"/>
    <w:rsid w:val="000A55E0"/>
    <w:rsid w:val="000A7A77"/>
    <w:rsid w:val="000B2690"/>
    <w:rsid w:val="000B36A9"/>
    <w:rsid w:val="000C452B"/>
    <w:rsid w:val="000C5DBC"/>
    <w:rsid w:val="000C66BC"/>
    <w:rsid w:val="000C6B22"/>
    <w:rsid w:val="000C73C3"/>
    <w:rsid w:val="000D57B3"/>
    <w:rsid w:val="000E74EB"/>
    <w:rsid w:val="000F6E76"/>
    <w:rsid w:val="00107AB1"/>
    <w:rsid w:val="001219D6"/>
    <w:rsid w:val="00127B24"/>
    <w:rsid w:val="001304E1"/>
    <w:rsid w:val="001332E4"/>
    <w:rsid w:val="00135D8D"/>
    <w:rsid w:val="001370DE"/>
    <w:rsid w:val="0014071C"/>
    <w:rsid w:val="00142220"/>
    <w:rsid w:val="00152E19"/>
    <w:rsid w:val="001534FE"/>
    <w:rsid w:val="00156AE6"/>
    <w:rsid w:val="001600A2"/>
    <w:rsid w:val="001639EE"/>
    <w:rsid w:val="0016566E"/>
    <w:rsid w:val="001659E6"/>
    <w:rsid w:val="00167D21"/>
    <w:rsid w:val="00187043"/>
    <w:rsid w:val="00187B79"/>
    <w:rsid w:val="00196273"/>
    <w:rsid w:val="0019703A"/>
    <w:rsid w:val="001A0455"/>
    <w:rsid w:val="001A39A0"/>
    <w:rsid w:val="001A6D05"/>
    <w:rsid w:val="001B33ED"/>
    <w:rsid w:val="001B6AC5"/>
    <w:rsid w:val="001C50BA"/>
    <w:rsid w:val="001D2C64"/>
    <w:rsid w:val="001D3D7E"/>
    <w:rsid w:val="001D3DE8"/>
    <w:rsid w:val="001E1DB3"/>
    <w:rsid w:val="001F1092"/>
    <w:rsid w:val="001F1F4B"/>
    <w:rsid w:val="001F2E1F"/>
    <w:rsid w:val="001F39B0"/>
    <w:rsid w:val="001F476F"/>
    <w:rsid w:val="0020323C"/>
    <w:rsid w:val="00211C3B"/>
    <w:rsid w:val="00220EB5"/>
    <w:rsid w:val="00223DB4"/>
    <w:rsid w:val="00230372"/>
    <w:rsid w:val="002362F6"/>
    <w:rsid w:val="002403EB"/>
    <w:rsid w:val="00241513"/>
    <w:rsid w:val="00241F82"/>
    <w:rsid w:val="00243799"/>
    <w:rsid w:val="00243F52"/>
    <w:rsid w:val="00245E18"/>
    <w:rsid w:val="00246E06"/>
    <w:rsid w:val="002530E5"/>
    <w:rsid w:val="00253D4A"/>
    <w:rsid w:val="00261310"/>
    <w:rsid w:val="00264F44"/>
    <w:rsid w:val="0026635E"/>
    <w:rsid w:val="00272891"/>
    <w:rsid w:val="00273CE6"/>
    <w:rsid w:val="002741DE"/>
    <w:rsid w:val="002802BE"/>
    <w:rsid w:val="00281546"/>
    <w:rsid w:val="00282AA1"/>
    <w:rsid w:val="00282DEF"/>
    <w:rsid w:val="002851C2"/>
    <w:rsid w:val="00285627"/>
    <w:rsid w:val="00285DA6"/>
    <w:rsid w:val="002865D6"/>
    <w:rsid w:val="00287E2A"/>
    <w:rsid w:val="002905C8"/>
    <w:rsid w:val="00291772"/>
    <w:rsid w:val="00294C6F"/>
    <w:rsid w:val="0029763F"/>
    <w:rsid w:val="002A64DE"/>
    <w:rsid w:val="002B0012"/>
    <w:rsid w:val="002B084D"/>
    <w:rsid w:val="002B094A"/>
    <w:rsid w:val="002B12FB"/>
    <w:rsid w:val="002B47D6"/>
    <w:rsid w:val="002B5FC3"/>
    <w:rsid w:val="002C7E58"/>
    <w:rsid w:val="002D5978"/>
    <w:rsid w:val="002D7401"/>
    <w:rsid w:val="002E20F5"/>
    <w:rsid w:val="002E3A51"/>
    <w:rsid w:val="002F5320"/>
    <w:rsid w:val="0030289D"/>
    <w:rsid w:val="0031380B"/>
    <w:rsid w:val="003209CB"/>
    <w:rsid w:val="003225BC"/>
    <w:rsid w:val="003241A9"/>
    <w:rsid w:val="00340302"/>
    <w:rsid w:val="003436A2"/>
    <w:rsid w:val="003439A7"/>
    <w:rsid w:val="00347405"/>
    <w:rsid w:val="00350FE5"/>
    <w:rsid w:val="00352013"/>
    <w:rsid w:val="00354926"/>
    <w:rsid w:val="00355977"/>
    <w:rsid w:val="003562E6"/>
    <w:rsid w:val="0035722F"/>
    <w:rsid w:val="00360D4B"/>
    <w:rsid w:val="003672A5"/>
    <w:rsid w:val="003725B0"/>
    <w:rsid w:val="003729B7"/>
    <w:rsid w:val="0037469B"/>
    <w:rsid w:val="0037563F"/>
    <w:rsid w:val="0038307E"/>
    <w:rsid w:val="00383E62"/>
    <w:rsid w:val="00384094"/>
    <w:rsid w:val="00385001"/>
    <w:rsid w:val="00385231"/>
    <w:rsid w:val="00386A09"/>
    <w:rsid w:val="00394ECD"/>
    <w:rsid w:val="00396382"/>
    <w:rsid w:val="00397F00"/>
    <w:rsid w:val="003A2D0D"/>
    <w:rsid w:val="003A3DFA"/>
    <w:rsid w:val="003A40EF"/>
    <w:rsid w:val="003A52CC"/>
    <w:rsid w:val="003A6176"/>
    <w:rsid w:val="003C2229"/>
    <w:rsid w:val="003C67AD"/>
    <w:rsid w:val="003D0794"/>
    <w:rsid w:val="003D6453"/>
    <w:rsid w:val="003E7E13"/>
    <w:rsid w:val="003F0D92"/>
    <w:rsid w:val="003F63ED"/>
    <w:rsid w:val="00405471"/>
    <w:rsid w:val="00416F3F"/>
    <w:rsid w:val="004173A7"/>
    <w:rsid w:val="00422348"/>
    <w:rsid w:val="00433E2E"/>
    <w:rsid w:val="0044077F"/>
    <w:rsid w:val="00440B81"/>
    <w:rsid w:val="00454C9A"/>
    <w:rsid w:val="0046352E"/>
    <w:rsid w:val="0046464E"/>
    <w:rsid w:val="00465253"/>
    <w:rsid w:val="00465CD6"/>
    <w:rsid w:val="00466AB7"/>
    <w:rsid w:val="004751F8"/>
    <w:rsid w:val="0048107D"/>
    <w:rsid w:val="004820ED"/>
    <w:rsid w:val="0049117F"/>
    <w:rsid w:val="00495E3D"/>
    <w:rsid w:val="004B3E5F"/>
    <w:rsid w:val="004B75C3"/>
    <w:rsid w:val="004F1CA9"/>
    <w:rsid w:val="004F4820"/>
    <w:rsid w:val="005060AB"/>
    <w:rsid w:val="00522277"/>
    <w:rsid w:val="00525709"/>
    <w:rsid w:val="005331CD"/>
    <w:rsid w:val="00534638"/>
    <w:rsid w:val="00537BCF"/>
    <w:rsid w:val="005529CB"/>
    <w:rsid w:val="0055450F"/>
    <w:rsid w:val="005557F0"/>
    <w:rsid w:val="005718C3"/>
    <w:rsid w:val="00575D34"/>
    <w:rsid w:val="00582C7A"/>
    <w:rsid w:val="00586D48"/>
    <w:rsid w:val="00590831"/>
    <w:rsid w:val="005949F7"/>
    <w:rsid w:val="005967E8"/>
    <w:rsid w:val="00596EE7"/>
    <w:rsid w:val="00597CDE"/>
    <w:rsid w:val="005A04B9"/>
    <w:rsid w:val="005A63E1"/>
    <w:rsid w:val="005A655F"/>
    <w:rsid w:val="005C26E4"/>
    <w:rsid w:val="005C299F"/>
    <w:rsid w:val="005C30B8"/>
    <w:rsid w:val="005D1280"/>
    <w:rsid w:val="005D5F7E"/>
    <w:rsid w:val="005E0317"/>
    <w:rsid w:val="005E599B"/>
    <w:rsid w:val="005E630F"/>
    <w:rsid w:val="005F119C"/>
    <w:rsid w:val="005F1B10"/>
    <w:rsid w:val="005F2A3F"/>
    <w:rsid w:val="005F54FC"/>
    <w:rsid w:val="005F56DD"/>
    <w:rsid w:val="006028EC"/>
    <w:rsid w:val="00602B61"/>
    <w:rsid w:val="00605000"/>
    <w:rsid w:val="00611B2A"/>
    <w:rsid w:val="00613269"/>
    <w:rsid w:val="006135C6"/>
    <w:rsid w:val="0061705D"/>
    <w:rsid w:val="006217A1"/>
    <w:rsid w:val="0062489E"/>
    <w:rsid w:val="00631C23"/>
    <w:rsid w:val="00634D66"/>
    <w:rsid w:val="006407D0"/>
    <w:rsid w:val="00646B83"/>
    <w:rsid w:val="00663AD9"/>
    <w:rsid w:val="006715C2"/>
    <w:rsid w:val="006728FD"/>
    <w:rsid w:val="00674A04"/>
    <w:rsid w:val="00680DD9"/>
    <w:rsid w:val="00682351"/>
    <w:rsid w:val="006827D7"/>
    <w:rsid w:val="00687427"/>
    <w:rsid w:val="00687491"/>
    <w:rsid w:val="006878B1"/>
    <w:rsid w:val="00687AC1"/>
    <w:rsid w:val="00693C40"/>
    <w:rsid w:val="00694178"/>
    <w:rsid w:val="00697112"/>
    <w:rsid w:val="0069792D"/>
    <w:rsid w:val="006B0286"/>
    <w:rsid w:val="006B0691"/>
    <w:rsid w:val="006C0457"/>
    <w:rsid w:val="006C1462"/>
    <w:rsid w:val="006C36B9"/>
    <w:rsid w:val="006C641C"/>
    <w:rsid w:val="006C71E0"/>
    <w:rsid w:val="006D006D"/>
    <w:rsid w:val="006D0D9C"/>
    <w:rsid w:val="006D47D4"/>
    <w:rsid w:val="006E2B61"/>
    <w:rsid w:val="006E51F0"/>
    <w:rsid w:val="0070102B"/>
    <w:rsid w:val="00704055"/>
    <w:rsid w:val="00717A0E"/>
    <w:rsid w:val="00717FF9"/>
    <w:rsid w:val="007211A5"/>
    <w:rsid w:val="007214EE"/>
    <w:rsid w:val="00734EB3"/>
    <w:rsid w:val="007410FD"/>
    <w:rsid w:val="00743113"/>
    <w:rsid w:val="0074378A"/>
    <w:rsid w:val="007539E1"/>
    <w:rsid w:val="00756FB7"/>
    <w:rsid w:val="0075772F"/>
    <w:rsid w:val="0076049A"/>
    <w:rsid w:val="0076383F"/>
    <w:rsid w:val="00764EF1"/>
    <w:rsid w:val="00765296"/>
    <w:rsid w:val="007743D8"/>
    <w:rsid w:val="007802D5"/>
    <w:rsid w:val="00780612"/>
    <w:rsid w:val="007812E5"/>
    <w:rsid w:val="0078138E"/>
    <w:rsid w:val="00795DF4"/>
    <w:rsid w:val="007A4F07"/>
    <w:rsid w:val="007B594C"/>
    <w:rsid w:val="007C6D23"/>
    <w:rsid w:val="007E1A66"/>
    <w:rsid w:val="007E317E"/>
    <w:rsid w:val="008020D3"/>
    <w:rsid w:val="00805C8C"/>
    <w:rsid w:val="00810E44"/>
    <w:rsid w:val="008178D3"/>
    <w:rsid w:val="008276AC"/>
    <w:rsid w:val="00837E0F"/>
    <w:rsid w:val="008432F1"/>
    <w:rsid w:val="00846A54"/>
    <w:rsid w:val="00851EA6"/>
    <w:rsid w:val="00860373"/>
    <w:rsid w:val="00860ACB"/>
    <w:rsid w:val="00860F33"/>
    <w:rsid w:val="008634D4"/>
    <w:rsid w:val="008676DA"/>
    <w:rsid w:val="008677C0"/>
    <w:rsid w:val="00872E8F"/>
    <w:rsid w:val="00873A6F"/>
    <w:rsid w:val="008853EE"/>
    <w:rsid w:val="008934CE"/>
    <w:rsid w:val="008A02B7"/>
    <w:rsid w:val="008A1432"/>
    <w:rsid w:val="008A1F7A"/>
    <w:rsid w:val="008A754D"/>
    <w:rsid w:val="008B7477"/>
    <w:rsid w:val="008C69D3"/>
    <w:rsid w:val="008D15A5"/>
    <w:rsid w:val="008D3B26"/>
    <w:rsid w:val="008E0927"/>
    <w:rsid w:val="008E0C86"/>
    <w:rsid w:val="008E398F"/>
    <w:rsid w:val="008E65FD"/>
    <w:rsid w:val="009129A0"/>
    <w:rsid w:val="00920EFE"/>
    <w:rsid w:val="0093046A"/>
    <w:rsid w:val="009338AE"/>
    <w:rsid w:val="00940772"/>
    <w:rsid w:val="00943CBC"/>
    <w:rsid w:val="00951630"/>
    <w:rsid w:val="00953FC6"/>
    <w:rsid w:val="0095653B"/>
    <w:rsid w:val="00962EED"/>
    <w:rsid w:val="00965347"/>
    <w:rsid w:val="009666E6"/>
    <w:rsid w:val="0096759F"/>
    <w:rsid w:val="00981552"/>
    <w:rsid w:val="00985671"/>
    <w:rsid w:val="00985DA2"/>
    <w:rsid w:val="009952EC"/>
    <w:rsid w:val="009967E5"/>
    <w:rsid w:val="00996E41"/>
    <w:rsid w:val="009A1B67"/>
    <w:rsid w:val="009A7E5D"/>
    <w:rsid w:val="009B3400"/>
    <w:rsid w:val="009B581B"/>
    <w:rsid w:val="009D2594"/>
    <w:rsid w:val="009E2EFB"/>
    <w:rsid w:val="009E70DC"/>
    <w:rsid w:val="009E7AD6"/>
    <w:rsid w:val="009F1446"/>
    <w:rsid w:val="009F3040"/>
    <w:rsid w:val="009F7694"/>
    <w:rsid w:val="00A00440"/>
    <w:rsid w:val="00A01A4A"/>
    <w:rsid w:val="00A01BFB"/>
    <w:rsid w:val="00A2105F"/>
    <w:rsid w:val="00A3151D"/>
    <w:rsid w:val="00A462CA"/>
    <w:rsid w:val="00A64562"/>
    <w:rsid w:val="00A725F9"/>
    <w:rsid w:val="00A76463"/>
    <w:rsid w:val="00A77847"/>
    <w:rsid w:val="00A7787A"/>
    <w:rsid w:val="00A8093E"/>
    <w:rsid w:val="00A81320"/>
    <w:rsid w:val="00A82DA8"/>
    <w:rsid w:val="00A91EED"/>
    <w:rsid w:val="00A975D5"/>
    <w:rsid w:val="00AA724D"/>
    <w:rsid w:val="00AB41E9"/>
    <w:rsid w:val="00AB7575"/>
    <w:rsid w:val="00AC635E"/>
    <w:rsid w:val="00AE2B94"/>
    <w:rsid w:val="00AF0F2E"/>
    <w:rsid w:val="00AF107F"/>
    <w:rsid w:val="00AF48C2"/>
    <w:rsid w:val="00B04004"/>
    <w:rsid w:val="00B11CDF"/>
    <w:rsid w:val="00B12ECE"/>
    <w:rsid w:val="00B30AB4"/>
    <w:rsid w:val="00B3228D"/>
    <w:rsid w:val="00B3423F"/>
    <w:rsid w:val="00B359AF"/>
    <w:rsid w:val="00B4381A"/>
    <w:rsid w:val="00B43C65"/>
    <w:rsid w:val="00B44677"/>
    <w:rsid w:val="00B51B3C"/>
    <w:rsid w:val="00B54BFA"/>
    <w:rsid w:val="00B5758A"/>
    <w:rsid w:val="00B6250A"/>
    <w:rsid w:val="00B66A72"/>
    <w:rsid w:val="00B723BB"/>
    <w:rsid w:val="00B72811"/>
    <w:rsid w:val="00B750DA"/>
    <w:rsid w:val="00B75D11"/>
    <w:rsid w:val="00B7651E"/>
    <w:rsid w:val="00B81583"/>
    <w:rsid w:val="00B81BC8"/>
    <w:rsid w:val="00B81FBC"/>
    <w:rsid w:val="00B85BEE"/>
    <w:rsid w:val="00B85C86"/>
    <w:rsid w:val="00B9090E"/>
    <w:rsid w:val="00B916FC"/>
    <w:rsid w:val="00B95A75"/>
    <w:rsid w:val="00BA22B2"/>
    <w:rsid w:val="00BA5B46"/>
    <w:rsid w:val="00BB4C3E"/>
    <w:rsid w:val="00BC2033"/>
    <w:rsid w:val="00BE15FA"/>
    <w:rsid w:val="00BE16BC"/>
    <w:rsid w:val="00BE30AB"/>
    <w:rsid w:val="00BE39EC"/>
    <w:rsid w:val="00BE51D7"/>
    <w:rsid w:val="00BE5E89"/>
    <w:rsid w:val="00BF2952"/>
    <w:rsid w:val="00BF29BF"/>
    <w:rsid w:val="00BF63A1"/>
    <w:rsid w:val="00C03D99"/>
    <w:rsid w:val="00C07534"/>
    <w:rsid w:val="00C12AD9"/>
    <w:rsid w:val="00C203AE"/>
    <w:rsid w:val="00C23602"/>
    <w:rsid w:val="00C33C13"/>
    <w:rsid w:val="00C36376"/>
    <w:rsid w:val="00C36992"/>
    <w:rsid w:val="00C43C46"/>
    <w:rsid w:val="00C45541"/>
    <w:rsid w:val="00C522CB"/>
    <w:rsid w:val="00C56A5B"/>
    <w:rsid w:val="00C60C36"/>
    <w:rsid w:val="00C64EB1"/>
    <w:rsid w:val="00C64EDD"/>
    <w:rsid w:val="00C678E4"/>
    <w:rsid w:val="00C81AEC"/>
    <w:rsid w:val="00C81B74"/>
    <w:rsid w:val="00C84EDA"/>
    <w:rsid w:val="00C85DEE"/>
    <w:rsid w:val="00C9329B"/>
    <w:rsid w:val="00C95366"/>
    <w:rsid w:val="00CA2BD0"/>
    <w:rsid w:val="00CB27E2"/>
    <w:rsid w:val="00CB455A"/>
    <w:rsid w:val="00CB4CFC"/>
    <w:rsid w:val="00CB55EC"/>
    <w:rsid w:val="00CB58D2"/>
    <w:rsid w:val="00CB5A72"/>
    <w:rsid w:val="00CC02A4"/>
    <w:rsid w:val="00CC072D"/>
    <w:rsid w:val="00CC0C8C"/>
    <w:rsid w:val="00CC3F5B"/>
    <w:rsid w:val="00CC5835"/>
    <w:rsid w:val="00CC5861"/>
    <w:rsid w:val="00CD1342"/>
    <w:rsid w:val="00CD1836"/>
    <w:rsid w:val="00CE4306"/>
    <w:rsid w:val="00D13674"/>
    <w:rsid w:val="00D20C65"/>
    <w:rsid w:val="00D24389"/>
    <w:rsid w:val="00D26605"/>
    <w:rsid w:val="00D2732B"/>
    <w:rsid w:val="00D33F49"/>
    <w:rsid w:val="00D35486"/>
    <w:rsid w:val="00D46A8B"/>
    <w:rsid w:val="00D46CB3"/>
    <w:rsid w:val="00D66538"/>
    <w:rsid w:val="00D677D6"/>
    <w:rsid w:val="00D67876"/>
    <w:rsid w:val="00D87A95"/>
    <w:rsid w:val="00D93582"/>
    <w:rsid w:val="00D941CF"/>
    <w:rsid w:val="00D94F89"/>
    <w:rsid w:val="00D973C9"/>
    <w:rsid w:val="00DA1A63"/>
    <w:rsid w:val="00DA323D"/>
    <w:rsid w:val="00DC3FF7"/>
    <w:rsid w:val="00DC4EB5"/>
    <w:rsid w:val="00DC5650"/>
    <w:rsid w:val="00DD563B"/>
    <w:rsid w:val="00DD6173"/>
    <w:rsid w:val="00DE289D"/>
    <w:rsid w:val="00DE5DC5"/>
    <w:rsid w:val="00DE74C1"/>
    <w:rsid w:val="00DE7B41"/>
    <w:rsid w:val="00DF1044"/>
    <w:rsid w:val="00DF2545"/>
    <w:rsid w:val="00DF5C86"/>
    <w:rsid w:val="00E11173"/>
    <w:rsid w:val="00E1398B"/>
    <w:rsid w:val="00E14E0E"/>
    <w:rsid w:val="00E21E67"/>
    <w:rsid w:val="00E31B3E"/>
    <w:rsid w:val="00E35975"/>
    <w:rsid w:val="00E40807"/>
    <w:rsid w:val="00E45866"/>
    <w:rsid w:val="00E65D18"/>
    <w:rsid w:val="00E6695F"/>
    <w:rsid w:val="00E72D88"/>
    <w:rsid w:val="00E74463"/>
    <w:rsid w:val="00EA2851"/>
    <w:rsid w:val="00EA6192"/>
    <w:rsid w:val="00EB6D50"/>
    <w:rsid w:val="00EC5D85"/>
    <w:rsid w:val="00ED1F77"/>
    <w:rsid w:val="00ED4977"/>
    <w:rsid w:val="00ED5FC8"/>
    <w:rsid w:val="00EE4AD3"/>
    <w:rsid w:val="00EF1268"/>
    <w:rsid w:val="00EF23A1"/>
    <w:rsid w:val="00EF3160"/>
    <w:rsid w:val="00EF3722"/>
    <w:rsid w:val="00F0602F"/>
    <w:rsid w:val="00F1302F"/>
    <w:rsid w:val="00F14914"/>
    <w:rsid w:val="00F25C26"/>
    <w:rsid w:val="00F363B6"/>
    <w:rsid w:val="00F36705"/>
    <w:rsid w:val="00F36EB9"/>
    <w:rsid w:val="00F37C38"/>
    <w:rsid w:val="00F40A97"/>
    <w:rsid w:val="00F47FC1"/>
    <w:rsid w:val="00F57E97"/>
    <w:rsid w:val="00F64B44"/>
    <w:rsid w:val="00F65D75"/>
    <w:rsid w:val="00F906E7"/>
    <w:rsid w:val="00F9518E"/>
    <w:rsid w:val="00FA74DB"/>
    <w:rsid w:val="00FC0460"/>
    <w:rsid w:val="00FC1D3B"/>
    <w:rsid w:val="00FC62B2"/>
    <w:rsid w:val="00FD0389"/>
    <w:rsid w:val="00FE5324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625E"/>
  <w15:chartTrackingRefBased/>
  <w15:docId w15:val="{7E3E3454-CBCD-4D40-BEBF-F421676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A6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4C6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C6F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C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4C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31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A5"/>
  </w:style>
  <w:style w:type="paragraph" w:styleId="Footer">
    <w:name w:val="footer"/>
    <w:basedOn w:val="Normal"/>
    <w:link w:val="FooterChar"/>
    <w:uiPriority w:val="99"/>
    <w:unhideWhenUsed/>
    <w:rsid w:val="0072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A5"/>
  </w:style>
  <w:style w:type="paragraph" w:customStyle="1" w:styleId="msonormal0">
    <w:name w:val="msonormal"/>
    <w:basedOn w:val="Normal"/>
    <w:rsid w:val="00C0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0753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0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lient\C$\Users\margot\Desktop\NOWT%20P%20en%20MNCS_nieu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lient\C$\Users\margot\Desktop\NOWT%20P%20en%20MNCS_nieu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nl-NL" sz="1800" b="0" i="0" baseline="0">
                <a:effectLst/>
              </a:rPr>
              <a:t>Citatie-impactscore disciplines 2018</a:t>
            </a:r>
            <a:r>
              <a:rPr lang="nl-NL" sz="1400" b="0" i="0" u="none" strike="noStrike" baseline="0">
                <a:effectLst/>
              </a:rPr>
              <a:t> </a:t>
            </a:r>
            <a:r>
              <a:rPr lang="nl-NL" sz="1800" b="0" i="0" baseline="0">
                <a:effectLst/>
              </a:rPr>
              <a:t>en 2003</a:t>
            </a:r>
            <a:endParaRPr lang="nl-NL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'Plaatje MNCS voor bijlage FC'!$E$50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'Plaatje MNCS voor bijlage FC'!$A$51:$B$83</c:f>
              <c:strCache>
                <c:ptCount val="33"/>
                <c:pt idx="0">
                  <c:v>Aardwetenschappen en technologie</c:v>
                </c:pt>
                <c:pt idx="1">
                  <c:v>Chemie en chemische technologie</c:v>
                </c:pt>
                <c:pt idx="2">
                  <c:v>Fysica en materiaalkunde</c:v>
                </c:pt>
                <c:pt idx="3">
                  <c:v>Milieuwetenschappen</c:v>
                </c:pt>
                <c:pt idx="4">
                  <c:v>Statistiek</c:v>
                </c:pt>
                <c:pt idx="5">
                  <c:v>Sterrenkunde</c:v>
                </c:pt>
                <c:pt idx="6">
                  <c:v>Wiskunde</c:v>
                </c:pt>
                <c:pt idx="8">
                  <c:v>Algemene en productie technologie</c:v>
                </c:pt>
                <c:pt idx="9">
                  <c:v>Civiele techniek</c:v>
                </c:pt>
                <c:pt idx="10">
                  <c:v>Computerwetenschappen</c:v>
                </c:pt>
                <c:pt idx="11">
                  <c:v>Electrotechniek</c:v>
                </c:pt>
                <c:pt idx="12">
                  <c:v>Energiewetenschappen</c:v>
                </c:pt>
                <c:pt idx="13">
                  <c:v>Instrumenten en instrumentarium</c:v>
                </c:pt>
                <c:pt idx="14">
                  <c:v>Werktuigbouwkunde</c:v>
                </c:pt>
                <c:pt idx="16">
                  <c:v>Landbouw- en voedingswetenschappen</c:v>
                </c:pt>
                <c:pt idx="18">
                  <c:v>Biologische wetenschappen</c:v>
                </c:pt>
                <c:pt idx="19">
                  <c:v>Biomedische wetenschappen</c:v>
                </c:pt>
                <c:pt idx="20">
                  <c:v>Fundamentele Levenswetenschappen</c:v>
                </c:pt>
                <c:pt idx="21">
                  <c:v>Fundamentele medische wetenshappen</c:v>
                </c:pt>
                <c:pt idx="22">
                  <c:v>Gezondheidswetenshappen</c:v>
                </c:pt>
                <c:pt idx="23">
                  <c:v>Klinische geneeskunde</c:v>
                </c:pt>
                <c:pt idx="25">
                  <c:v>Economische wetenshappen</c:v>
                </c:pt>
                <c:pt idx="26">
                  <c:v>Informatie en communicatiewetenschappen</c:v>
                </c:pt>
                <c:pt idx="27">
                  <c:v>Management en planning</c:v>
                </c:pt>
                <c:pt idx="28">
                  <c:v>Onderwijswetenschappen</c:v>
                </c:pt>
                <c:pt idx="29">
                  <c:v>Politieke wetenschappen</c:v>
                </c:pt>
                <c:pt idx="30">
                  <c:v>Psychologische wetenschappen</c:v>
                </c:pt>
                <c:pt idx="31">
                  <c:v>Sociale en gedragswet. - interdisciplinair</c:v>
                </c:pt>
                <c:pt idx="32">
                  <c:v>Sociologie en antropologie</c:v>
                </c:pt>
              </c:strCache>
            </c:strRef>
          </c:cat>
          <c:val>
            <c:numRef>
              <c:f>'Plaatje MNCS voor bijlage FC'!$E$51:$E$83</c:f>
              <c:numCache>
                <c:formatCode>0.00</c:formatCode>
                <c:ptCount val="33"/>
                <c:pt idx="0">
                  <c:v>1.2800894538060299</c:v>
                </c:pt>
                <c:pt idx="1">
                  <c:v>1.45311227740536</c:v>
                </c:pt>
                <c:pt idx="2">
                  <c:v>1.3079969885802301</c:v>
                </c:pt>
                <c:pt idx="3">
                  <c:v>1.4540054276012899</c:v>
                </c:pt>
                <c:pt idx="4">
                  <c:v>1.02562177865685</c:v>
                </c:pt>
                <c:pt idx="5">
                  <c:v>1.2640648390923099</c:v>
                </c:pt>
                <c:pt idx="6">
                  <c:v>0.91508727914328902</c:v>
                </c:pt>
                <c:pt idx="8">
                  <c:v>1.1745483420743901</c:v>
                </c:pt>
                <c:pt idx="9">
                  <c:v>1.13835970025096</c:v>
                </c:pt>
                <c:pt idx="10">
                  <c:v>1.07662241101862</c:v>
                </c:pt>
                <c:pt idx="11">
                  <c:v>1.1149267996633401</c:v>
                </c:pt>
                <c:pt idx="12">
                  <c:v>1.2753149425602901</c:v>
                </c:pt>
                <c:pt idx="13">
                  <c:v>0.90000501001732602</c:v>
                </c:pt>
                <c:pt idx="14">
                  <c:v>1.1523204087513499</c:v>
                </c:pt>
                <c:pt idx="16">
                  <c:v>1.2984578475044399</c:v>
                </c:pt>
                <c:pt idx="18">
                  <c:v>1.3866767516941001</c:v>
                </c:pt>
                <c:pt idx="19">
                  <c:v>1.23981521568159</c:v>
                </c:pt>
                <c:pt idx="20">
                  <c:v>1.4301906061327401</c:v>
                </c:pt>
                <c:pt idx="21">
                  <c:v>1.1070699793183401</c:v>
                </c:pt>
                <c:pt idx="22">
                  <c:v>1.0777302333701599</c:v>
                </c:pt>
                <c:pt idx="23">
                  <c:v>1.36145952900364</c:v>
                </c:pt>
                <c:pt idx="25">
                  <c:v>1.25709960508263</c:v>
                </c:pt>
                <c:pt idx="26">
                  <c:v>1.6320099477847501</c:v>
                </c:pt>
                <c:pt idx="27">
                  <c:v>1.40906153453745</c:v>
                </c:pt>
                <c:pt idx="28">
                  <c:v>1.17351407283386</c:v>
                </c:pt>
                <c:pt idx="29">
                  <c:v>1.50579472802127</c:v>
                </c:pt>
                <c:pt idx="30">
                  <c:v>1.3428036531663601</c:v>
                </c:pt>
                <c:pt idx="31">
                  <c:v>1.1246282653298101</c:v>
                </c:pt>
                <c:pt idx="32">
                  <c:v>1.2456408614505099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A7-4A38-A720-9DDD84F498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59250352"/>
        <c:axId val="459250768"/>
      </c:barChart>
      <c:lineChart>
        <c:grouping val="standard"/>
        <c:varyColors val="0"/>
        <c:ser>
          <c:idx val="0"/>
          <c:order val="0"/>
          <c:tx>
            <c:strRef>
              <c:f>'Plaatje MNCS voor bijlage FC'!$C$50</c:f>
              <c:strCache>
                <c:ptCount val="1"/>
                <c:pt idx="0">
                  <c:v>Mondiaal gemiddelde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'Plaatje MNCS voor bijlage FC'!$A$51:$B$83</c:f>
              <c:strCache>
                <c:ptCount val="33"/>
                <c:pt idx="0">
                  <c:v>Aardwetenschappen en technologie</c:v>
                </c:pt>
                <c:pt idx="1">
                  <c:v>Chemie en chemische technologie</c:v>
                </c:pt>
                <c:pt idx="2">
                  <c:v>Fysica en materiaalkunde</c:v>
                </c:pt>
                <c:pt idx="3">
                  <c:v>Milieuwetenschappen</c:v>
                </c:pt>
                <c:pt idx="4">
                  <c:v>Statistiek</c:v>
                </c:pt>
                <c:pt idx="5">
                  <c:v>Sterrenkunde</c:v>
                </c:pt>
                <c:pt idx="6">
                  <c:v>Wiskunde</c:v>
                </c:pt>
                <c:pt idx="8">
                  <c:v>Algemene en productie technologie</c:v>
                </c:pt>
                <c:pt idx="9">
                  <c:v>Civiele techniek</c:v>
                </c:pt>
                <c:pt idx="10">
                  <c:v>Computerwetenschappen</c:v>
                </c:pt>
                <c:pt idx="11">
                  <c:v>Electrotechniek</c:v>
                </c:pt>
                <c:pt idx="12">
                  <c:v>Energiewetenschappen</c:v>
                </c:pt>
                <c:pt idx="13">
                  <c:v>Instrumenten en instrumentarium</c:v>
                </c:pt>
                <c:pt idx="14">
                  <c:v>Werktuigbouwkunde</c:v>
                </c:pt>
                <c:pt idx="16">
                  <c:v>Landbouw- en voedingswetenschappen</c:v>
                </c:pt>
                <c:pt idx="18">
                  <c:v>Biologische wetenschappen</c:v>
                </c:pt>
                <c:pt idx="19">
                  <c:v>Biomedische wetenschappen</c:v>
                </c:pt>
                <c:pt idx="20">
                  <c:v>Fundamentele Levenswetenschappen</c:v>
                </c:pt>
                <c:pt idx="21">
                  <c:v>Fundamentele medische wetenshappen</c:v>
                </c:pt>
                <c:pt idx="22">
                  <c:v>Gezondheidswetenshappen</c:v>
                </c:pt>
                <c:pt idx="23">
                  <c:v>Klinische geneeskunde</c:v>
                </c:pt>
                <c:pt idx="25">
                  <c:v>Economische wetenshappen</c:v>
                </c:pt>
                <c:pt idx="26">
                  <c:v>Informatie en communicatiewetenschappen</c:v>
                </c:pt>
                <c:pt idx="27">
                  <c:v>Management en planning</c:v>
                </c:pt>
                <c:pt idx="28">
                  <c:v>Onderwijswetenschappen</c:v>
                </c:pt>
                <c:pt idx="29">
                  <c:v>Politieke wetenschappen</c:v>
                </c:pt>
                <c:pt idx="30">
                  <c:v>Psychologische wetenschappen</c:v>
                </c:pt>
                <c:pt idx="31">
                  <c:v>Sociale en gedragswet. - interdisciplinair</c:v>
                </c:pt>
                <c:pt idx="32">
                  <c:v>Sociologie en antropologie</c:v>
                </c:pt>
              </c:strCache>
            </c:strRef>
          </c:cat>
          <c:val>
            <c:numRef>
              <c:f>'Plaatje MNCS voor bijlage FC'!$C$51:$C$83</c:f>
              <c:numCache>
                <c:formatCode>General</c:formatCode>
                <c:ptCount val="3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A7-4A38-A720-9DDD84F49821}"/>
            </c:ext>
          </c:extLst>
        </c:ser>
        <c:ser>
          <c:idx val="1"/>
          <c:order val="1"/>
          <c:tx>
            <c:strRef>
              <c:f>'Plaatje MNCS voor bijlage FC'!$D$50</c:f>
              <c:strCache>
                <c:ptCount val="1"/>
                <c:pt idx="0">
                  <c:v>2003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cat>
            <c:strRef>
              <c:f>'Plaatje MNCS voor bijlage FC'!$A$51:$B$83</c:f>
              <c:strCache>
                <c:ptCount val="33"/>
                <c:pt idx="0">
                  <c:v>Aardwetenschappen en technologie</c:v>
                </c:pt>
                <c:pt idx="1">
                  <c:v>Chemie en chemische technologie</c:v>
                </c:pt>
                <c:pt idx="2">
                  <c:v>Fysica en materiaalkunde</c:v>
                </c:pt>
                <c:pt idx="3">
                  <c:v>Milieuwetenschappen</c:v>
                </c:pt>
                <c:pt idx="4">
                  <c:v>Statistiek</c:v>
                </c:pt>
                <c:pt idx="5">
                  <c:v>Sterrenkunde</c:v>
                </c:pt>
                <c:pt idx="6">
                  <c:v>Wiskunde</c:v>
                </c:pt>
                <c:pt idx="8">
                  <c:v>Algemene en productie technologie</c:v>
                </c:pt>
                <c:pt idx="9">
                  <c:v>Civiele techniek</c:v>
                </c:pt>
                <c:pt idx="10">
                  <c:v>Computerwetenschappen</c:v>
                </c:pt>
                <c:pt idx="11">
                  <c:v>Electrotechniek</c:v>
                </c:pt>
                <c:pt idx="12">
                  <c:v>Energiewetenschappen</c:v>
                </c:pt>
                <c:pt idx="13">
                  <c:v>Instrumenten en instrumentarium</c:v>
                </c:pt>
                <c:pt idx="14">
                  <c:v>Werktuigbouwkunde</c:v>
                </c:pt>
                <c:pt idx="16">
                  <c:v>Landbouw- en voedingswetenschappen</c:v>
                </c:pt>
                <c:pt idx="18">
                  <c:v>Biologische wetenschappen</c:v>
                </c:pt>
                <c:pt idx="19">
                  <c:v>Biomedische wetenschappen</c:v>
                </c:pt>
                <c:pt idx="20">
                  <c:v>Fundamentele Levenswetenschappen</c:v>
                </c:pt>
                <c:pt idx="21">
                  <c:v>Fundamentele medische wetenshappen</c:v>
                </c:pt>
                <c:pt idx="22">
                  <c:v>Gezondheidswetenshappen</c:v>
                </c:pt>
                <c:pt idx="23">
                  <c:v>Klinische geneeskunde</c:v>
                </c:pt>
                <c:pt idx="25">
                  <c:v>Economische wetenshappen</c:v>
                </c:pt>
                <c:pt idx="26">
                  <c:v>Informatie en communicatiewetenschappen</c:v>
                </c:pt>
                <c:pt idx="27">
                  <c:v>Management en planning</c:v>
                </c:pt>
                <c:pt idx="28">
                  <c:v>Onderwijswetenschappen</c:v>
                </c:pt>
                <c:pt idx="29">
                  <c:v>Politieke wetenschappen</c:v>
                </c:pt>
                <c:pt idx="30">
                  <c:v>Psychologische wetenschappen</c:v>
                </c:pt>
                <c:pt idx="31">
                  <c:v>Sociale en gedragswet. - interdisciplinair</c:v>
                </c:pt>
                <c:pt idx="32">
                  <c:v>Sociologie en antropologie</c:v>
                </c:pt>
              </c:strCache>
            </c:strRef>
          </c:cat>
          <c:val>
            <c:numRef>
              <c:f>'Plaatje MNCS voor bijlage FC'!$D$51:$D$83</c:f>
              <c:numCache>
                <c:formatCode>0.00</c:formatCode>
                <c:ptCount val="33"/>
                <c:pt idx="0">
                  <c:v>1.21081977562124</c:v>
                </c:pt>
                <c:pt idx="1">
                  <c:v>1.58901389617827</c:v>
                </c:pt>
                <c:pt idx="2">
                  <c:v>1.4686858012326001</c:v>
                </c:pt>
                <c:pt idx="3">
                  <c:v>1.3892294916688599</c:v>
                </c:pt>
                <c:pt idx="4">
                  <c:v>0.98130302651512102</c:v>
                </c:pt>
                <c:pt idx="5">
                  <c:v>1.21790932071892</c:v>
                </c:pt>
                <c:pt idx="6">
                  <c:v>1.1628365191465699</c:v>
                </c:pt>
                <c:pt idx="8">
                  <c:v>1.0666602693871801</c:v>
                </c:pt>
                <c:pt idx="9">
                  <c:v>0.872261354355508</c:v>
                </c:pt>
                <c:pt idx="10">
                  <c:v>1.2663417197682501</c:v>
                </c:pt>
                <c:pt idx="11">
                  <c:v>1.21635207099936</c:v>
                </c:pt>
                <c:pt idx="12">
                  <c:v>1.1181131227277701</c:v>
                </c:pt>
                <c:pt idx="13">
                  <c:v>1.2161062206083399</c:v>
                </c:pt>
                <c:pt idx="14">
                  <c:v>1.1036149709601</c:v>
                </c:pt>
                <c:pt idx="16">
                  <c:v>1.3129654923935401</c:v>
                </c:pt>
                <c:pt idx="18">
                  <c:v>1.2215794833197999</c:v>
                </c:pt>
                <c:pt idx="19">
                  <c:v>1.0714508937960301</c:v>
                </c:pt>
                <c:pt idx="20">
                  <c:v>1.36940543529368</c:v>
                </c:pt>
                <c:pt idx="21">
                  <c:v>1.0180739542883099</c:v>
                </c:pt>
                <c:pt idx="22">
                  <c:v>0.81964501625050501</c:v>
                </c:pt>
                <c:pt idx="23">
                  <c:v>1.22189342736054</c:v>
                </c:pt>
                <c:pt idx="25">
                  <c:v>1.0002941169820401</c:v>
                </c:pt>
                <c:pt idx="26">
                  <c:v>1.3909141962081</c:v>
                </c:pt>
                <c:pt idx="27">
                  <c:v>1.07521292760302</c:v>
                </c:pt>
                <c:pt idx="28">
                  <c:v>0.896080961638964</c:v>
                </c:pt>
                <c:pt idx="29">
                  <c:v>0.976633839714801</c:v>
                </c:pt>
                <c:pt idx="30">
                  <c:v>0.98925534320214503</c:v>
                </c:pt>
                <c:pt idx="31">
                  <c:v>0.71134002215800296</c:v>
                </c:pt>
                <c:pt idx="32">
                  <c:v>0.82636792826264405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A7-4A38-A720-9DDD84F498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9250352"/>
        <c:axId val="459250768"/>
      </c:lineChart>
      <c:catAx>
        <c:axId val="45925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59250768"/>
        <c:crosses val="autoZero"/>
        <c:auto val="1"/>
        <c:lblAlgn val="ctr"/>
        <c:lblOffset val="100"/>
        <c:noMultiLvlLbl val="0"/>
      </c:catAx>
      <c:valAx>
        <c:axId val="45925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5925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800" b="0" i="0" baseline="0">
                <a:effectLst/>
              </a:rPr>
              <a:t>% stijging aantal publicaties 2003-2018</a:t>
            </a:r>
            <a:endParaRPr lang="nl-NL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 NOWT frac voor plaatje bijlag'!$C$211</c:f>
              <c:strCache>
                <c:ptCount val="1"/>
                <c:pt idx="0">
                  <c:v>% stijging NL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 NOWT frac voor plaatje bijlag'!$A$212:$B$244</c:f>
              <c:strCache>
                <c:ptCount val="33"/>
                <c:pt idx="0">
                  <c:v>Aardwetenschappen en technologie</c:v>
                </c:pt>
                <c:pt idx="1">
                  <c:v>Chemie en chemische technologie</c:v>
                </c:pt>
                <c:pt idx="2">
                  <c:v>Fysica en materiaalkunde</c:v>
                </c:pt>
                <c:pt idx="3">
                  <c:v>Milieuwetenschappen</c:v>
                </c:pt>
                <c:pt idx="4">
                  <c:v>Statistiek</c:v>
                </c:pt>
                <c:pt idx="5">
                  <c:v>Sterrenkunde</c:v>
                </c:pt>
                <c:pt idx="6">
                  <c:v>Wiskunde</c:v>
                </c:pt>
                <c:pt idx="8">
                  <c:v>Algemene en productie technologie</c:v>
                </c:pt>
                <c:pt idx="9">
                  <c:v>Civiele techniek</c:v>
                </c:pt>
                <c:pt idx="10">
                  <c:v>Computerwetenschappen</c:v>
                </c:pt>
                <c:pt idx="11">
                  <c:v>Electrotechniek</c:v>
                </c:pt>
                <c:pt idx="12">
                  <c:v>Energiewetenschappen</c:v>
                </c:pt>
                <c:pt idx="13">
                  <c:v>Instrumenten en instrumentarium</c:v>
                </c:pt>
                <c:pt idx="14">
                  <c:v>Werktuigbouwkunde</c:v>
                </c:pt>
                <c:pt idx="16">
                  <c:v>Landbouw- en voedingswetenschappen</c:v>
                </c:pt>
                <c:pt idx="18">
                  <c:v>Biologische wetenschappen</c:v>
                </c:pt>
                <c:pt idx="19">
                  <c:v>Biomedische wetenschappen</c:v>
                </c:pt>
                <c:pt idx="20">
                  <c:v>Fundamentele Levenswetenschappen</c:v>
                </c:pt>
                <c:pt idx="21">
                  <c:v>Fundamentele medische wetenshappen</c:v>
                </c:pt>
                <c:pt idx="22">
                  <c:v>Gezondheidswetenshappen</c:v>
                </c:pt>
                <c:pt idx="23">
                  <c:v>Klinische geneeskunde</c:v>
                </c:pt>
                <c:pt idx="25">
                  <c:v>Economische wetenshappen</c:v>
                </c:pt>
                <c:pt idx="26">
                  <c:v>Informatie en communicatiewetenschappen</c:v>
                </c:pt>
                <c:pt idx="27">
                  <c:v>Management en planning</c:v>
                </c:pt>
                <c:pt idx="28">
                  <c:v>Onderwijswetenschappen</c:v>
                </c:pt>
                <c:pt idx="29">
                  <c:v>Politieke wetenschappen</c:v>
                </c:pt>
                <c:pt idx="30">
                  <c:v>Psychologische wetenschappen</c:v>
                </c:pt>
                <c:pt idx="31">
                  <c:v>Sociale en gedragswet. - interdisciplinair</c:v>
                </c:pt>
                <c:pt idx="32">
                  <c:v>Sociologie en antropologie</c:v>
                </c:pt>
              </c:strCache>
            </c:strRef>
          </c:cat>
          <c:val>
            <c:numRef>
              <c:f>'P NOWT frac voor plaatje bijlag'!$C$212:$C$244</c:f>
              <c:numCache>
                <c:formatCode>0.0</c:formatCode>
                <c:ptCount val="33"/>
                <c:pt idx="0">
                  <c:v>127.04137318572823</c:v>
                </c:pt>
                <c:pt idx="1">
                  <c:v>30.500232206818943</c:v>
                </c:pt>
                <c:pt idx="2">
                  <c:v>38.000640383685202</c:v>
                </c:pt>
                <c:pt idx="3">
                  <c:v>270.86182763447351</c:v>
                </c:pt>
                <c:pt idx="4">
                  <c:v>61.865558308688698</c:v>
                </c:pt>
                <c:pt idx="5">
                  <c:v>132.17833777562396</c:v>
                </c:pt>
                <c:pt idx="6">
                  <c:v>22.632218456225917</c:v>
                </c:pt>
                <c:pt idx="8">
                  <c:v>108.997134670487</c:v>
                </c:pt>
                <c:pt idx="9">
                  <c:v>282.20510741791713</c:v>
                </c:pt>
                <c:pt idx="10">
                  <c:v>105.87925417619716</c:v>
                </c:pt>
                <c:pt idx="11">
                  <c:v>111.24601860109516</c:v>
                </c:pt>
                <c:pt idx="12">
                  <c:v>184.18748072772061</c:v>
                </c:pt>
                <c:pt idx="13">
                  <c:v>56.991429860171316</c:v>
                </c:pt>
                <c:pt idx="14">
                  <c:v>86.520497311827597</c:v>
                </c:pt>
                <c:pt idx="16" formatCode="General">
                  <c:v>90.427509293680004</c:v>
                </c:pt>
                <c:pt idx="18">
                  <c:v>75.133411222330679</c:v>
                </c:pt>
                <c:pt idx="19">
                  <c:v>94.500489276601158</c:v>
                </c:pt>
                <c:pt idx="20">
                  <c:v>41.476525599352421</c:v>
                </c:pt>
                <c:pt idx="21">
                  <c:v>153.13457371291938</c:v>
                </c:pt>
                <c:pt idx="22">
                  <c:v>339.14101552223048</c:v>
                </c:pt>
                <c:pt idx="23">
                  <c:v>120.60165618998657</c:v>
                </c:pt>
                <c:pt idx="25">
                  <c:v>173.70866356928022</c:v>
                </c:pt>
                <c:pt idx="26">
                  <c:v>354.61254612546026</c:v>
                </c:pt>
                <c:pt idx="27">
                  <c:v>263.03513433717092</c:v>
                </c:pt>
                <c:pt idx="28">
                  <c:v>370.76218242398875</c:v>
                </c:pt>
                <c:pt idx="29">
                  <c:v>458.87156644395094</c:v>
                </c:pt>
                <c:pt idx="30">
                  <c:v>204.89008902577933</c:v>
                </c:pt>
                <c:pt idx="31">
                  <c:v>305.04250952799651</c:v>
                </c:pt>
                <c:pt idx="32">
                  <c:v>288.30603889457376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08-4773-A145-6B9F0F96B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9903744"/>
        <c:axId val="499904992"/>
      </c:barChart>
      <c:lineChart>
        <c:grouping val="standard"/>
        <c:varyColors val="0"/>
        <c:ser>
          <c:idx val="1"/>
          <c:order val="1"/>
          <c:tx>
            <c:strRef>
              <c:f>'P NOWT frac voor plaatje bijlag'!$D$211</c:f>
              <c:strCache>
                <c:ptCount val="1"/>
                <c:pt idx="0">
                  <c:v>% stijging referentielanden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triangle"/>
            <c:size val="7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cat>
            <c:strRef>
              <c:f>'P NOWT frac voor plaatje bijlag'!$A$212:$B$244</c:f>
              <c:strCache>
                <c:ptCount val="33"/>
                <c:pt idx="0">
                  <c:v>Aardwetenschappen en technologie</c:v>
                </c:pt>
                <c:pt idx="1">
                  <c:v>Chemie en chemische technologie</c:v>
                </c:pt>
                <c:pt idx="2">
                  <c:v>Fysica en materiaalkunde</c:v>
                </c:pt>
                <c:pt idx="3">
                  <c:v>Milieuwetenschappen</c:v>
                </c:pt>
                <c:pt idx="4">
                  <c:v>Statistiek</c:v>
                </c:pt>
                <c:pt idx="5">
                  <c:v>Sterrenkunde</c:v>
                </c:pt>
                <c:pt idx="6">
                  <c:v>Wiskunde</c:v>
                </c:pt>
                <c:pt idx="8">
                  <c:v>Algemene en productie technologie</c:v>
                </c:pt>
                <c:pt idx="9">
                  <c:v>Civiele techniek</c:v>
                </c:pt>
                <c:pt idx="10">
                  <c:v>Computerwetenschappen</c:v>
                </c:pt>
                <c:pt idx="11">
                  <c:v>Electrotechniek</c:v>
                </c:pt>
                <c:pt idx="12">
                  <c:v>Energiewetenschappen</c:v>
                </c:pt>
                <c:pt idx="13">
                  <c:v>Instrumenten en instrumentarium</c:v>
                </c:pt>
                <c:pt idx="14">
                  <c:v>Werktuigbouwkunde</c:v>
                </c:pt>
                <c:pt idx="16">
                  <c:v>Landbouw- en voedingswetenschappen</c:v>
                </c:pt>
                <c:pt idx="18">
                  <c:v>Biologische wetenschappen</c:v>
                </c:pt>
                <c:pt idx="19">
                  <c:v>Biomedische wetenschappen</c:v>
                </c:pt>
                <c:pt idx="20">
                  <c:v>Fundamentele Levenswetenschappen</c:v>
                </c:pt>
                <c:pt idx="21">
                  <c:v>Fundamentele medische wetenshappen</c:v>
                </c:pt>
                <c:pt idx="22">
                  <c:v>Gezondheidswetenshappen</c:v>
                </c:pt>
                <c:pt idx="23">
                  <c:v>Klinische geneeskunde</c:v>
                </c:pt>
                <c:pt idx="25">
                  <c:v>Economische wetenshappen</c:v>
                </c:pt>
                <c:pt idx="26">
                  <c:v>Informatie en communicatiewetenschappen</c:v>
                </c:pt>
                <c:pt idx="27">
                  <c:v>Management en planning</c:v>
                </c:pt>
                <c:pt idx="28">
                  <c:v>Onderwijswetenschappen</c:v>
                </c:pt>
                <c:pt idx="29">
                  <c:v>Politieke wetenschappen</c:v>
                </c:pt>
                <c:pt idx="30">
                  <c:v>Psychologische wetenschappen</c:v>
                </c:pt>
                <c:pt idx="31">
                  <c:v>Sociale en gedragswet. - interdisciplinair</c:v>
                </c:pt>
                <c:pt idx="32">
                  <c:v>Sociologie en antropologie</c:v>
                </c:pt>
              </c:strCache>
            </c:strRef>
          </c:cat>
          <c:val>
            <c:numRef>
              <c:f>'P NOWT frac voor plaatje bijlag'!$D$212:$D$244</c:f>
              <c:numCache>
                <c:formatCode>0.0</c:formatCode>
                <c:ptCount val="33"/>
                <c:pt idx="0">
                  <c:v>149.06975739332074</c:v>
                </c:pt>
                <c:pt idx="1">
                  <c:v>101.91425276053666</c:v>
                </c:pt>
                <c:pt idx="2">
                  <c:v>81.099247223645435</c:v>
                </c:pt>
                <c:pt idx="3">
                  <c:v>265.72009558836436</c:v>
                </c:pt>
                <c:pt idx="4">
                  <c:v>120.75772179302761</c:v>
                </c:pt>
                <c:pt idx="5">
                  <c:v>102.62216468703404</c:v>
                </c:pt>
                <c:pt idx="6">
                  <c:v>96.39824025390304</c:v>
                </c:pt>
                <c:pt idx="8">
                  <c:v>191.11814961066921</c:v>
                </c:pt>
                <c:pt idx="9">
                  <c:v>324.32923057779067</c:v>
                </c:pt>
                <c:pt idx="10">
                  <c:v>202.76107191778001</c:v>
                </c:pt>
                <c:pt idx="11">
                  <c:v>179.54019236973636</c:v>
                </c:pt>
                <c:pt idx="12">
                  <c:v>282.05966255157819</c:v>
                </c:pt>
                <c:pt idx="13">
                  <c:v>151.03665549022497</c:v>
                </c:pt>
                <c:pt idx="14">
                  <c:v>143.64417460282149</c:v>
                </c:pt>
                <c:pt idx="16" formatCode="General">
                  <c:v>126.61908751524749</c:v>
                </c:pt>
                <c:pt idx="18">
                  <c:v>96.634982252261011</c:v>
                </c:pt>
                <c:pt idx="19">
                  <c:v>80.666550719909807</c:v>
                </c:pt>
                <c:pt idx="20">
                  <c:v>50.728860395000154</c:v>
                </c:pt>
                <c:pt idx="21">
                  <c:v>237.46256990865754</c:v>
                </c:pt>
                <c:pt idx="22">
                  <c:v>200.77689769940932</c:v>
                </c:pt>
                <c:pt idx="23">
                  <c:v>98.9465384868858</c:v>
                </c:pt>
                <c:pt idx="25">
                  <c:v>192.91479820627853</c:v>
                </c:pt>
                <c:pt idx="26">
                  <c:v>191.74923357177784</c:v>
                </c:pt>
                <c:pt idx="27">
                  <c:v>220.53250631190542</c:v>
                </c:pt>
                <c:pt idx="28">
                  <c:v>184.85492871312613</c:v>
                </c:pt>
                <c:pt idx="29">
                  <c:v>142.73949728656143</c:v>
                </c:pt>
                <c:pt idx="30">
                  <c:v>137.34759474680524</c:v>
                </c:pt>
                <c:pt idx="31">
                  <c:v>196.45790828071208</c:v>
                </c:pt>
                <c:pt idx="32">
                  <c:v>175.83117238516738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08-4773-A145-6B9F0F96B7E4}"/>
            </c:ext>
          </c:extLst>
        </c:ser>
        <c:ser>
          <c:idx val="2"/>
          <c:order val="2"/>
          <c:tx>
            <c:strRef>
              <c:f>'P NOWT frac voor plaatje bijlag'!$E$211</c:f>
              <c:strCache>
                <c:ptCount val="1"/>
                <c:pt idx="0">
                  <c:v>% stijging ref landen zonder china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noFill/>
              </a:ln>
              <a:effectLst/>
            </c:spPr>
          </c:marker>
          <c:cat>
            <c:strRef>
              <c:f>'P NOWT frac voor plaatje bijlag'!$A$212:$B$244</c:f>
              <c:strCache>
                <c:ptCount val="33"/>
                <c:pt idx="0">
                  <c:v>Aardwetenschappen en technologie</c:v>
                </c:pt>
                <c:pt idx="1">
                  <c:v>Chemie en chemische technologie</c:v>
                </c:pt>
                <c:pt idx="2">
                  <c:v>Fysica en materiaalkunde</c:v>
                </c:pt>
                <c:pt idx="3">
                  <c:v>Milieuwetenschappen</c:v>
                </c:pt>
                <c:pt idx="4">
                  <c:v>Statistiek</c:v>
                </c:pt>
                <c:pt idx="5">
                  <c:v>Sterrenkunde</c:v>
                </c:pt>
                <c:pt idx="6">
                  <c:v>Wiskunde</c:v>
                </c:pt>
                <c:pt idx="8">
                  <c:v>Algemene en productie technologie</c:v>
                </c:pt>
                <c:pt idx="9">
                  <c:v>Civiele techniek</c:v>
                </c:pt>
                <c:pt idx="10">
                  <c:v>Computerwetenschappen</c:v>
                </c:pt>
                <c:pt idx="11">
                  <c:v>Electrotechniek</c:v>
                </c:pt>
                <c:pt idx="12">
                  <c:v>Energiewetenschappen</c:v>
                </c:pt>
                <c:pt idx="13">
                  <c:v>Instrumenten en instrumentarium</c:v>
                </c:pt>
                <c:pt idx="14">
                  <c:v>Werktuigbouwkunde</c:v>
                </c:pt>
                <c:pt idx="16">
                  <c:v>Landbouw- en voedingswetenschappen</c:v>
                </c:pt>
                <c:pt idx="18">
                  <c:v>Biologische wetenschappen</c:v>
                </c:pt>
                <c:pt idx="19">
                  <c:v>Biomedische wetenschappen</c:v>
                </c:pt>
                <c:pt idx="20">
                  <c:v>Fundamentele Levenswetenschappen</c:v>
                </c:pt>
                <c:pt idx="21">
                  <c:v>Fundamentele medische wetenshappen</c:v>
                </c:pt>
                <c:pt idx="22">
                  <c:v>Gezondheidswetenshappen</c:v>
                </c:pt>
                <c:pt idx="23">
                  <c:v>Klinische geneeskunde</c:v>
                </c:pt>
                <c:pt idx="25">
                  <c:v>Economische wetenshappen</c:v>
                </c:pt>
                <c:pt idx="26">
                  <c:v>Informatie en communicatiewetenschappen</c:v>
                </c:pt>
                <c:pt idx="27">
                  <c:v>Management en planning</c:v>
                </c:pt>
                <c:pt idx="28">
                  <c:v>Onderwijswetenschappen</c:v>
                </c:pt>
                <c:pt idx="29">
                  <c:v>Politieke wetenschappen</c:v>
                </c:pt>
                <c:pt idx="30">
                  <c:v>Psychologische wetenschappen</c:v>
                </c:pt>
                <c:pt idx="31">
                  <c:v>Sociale en gedragswet. - interdisciplinair</c:v>
                </c:pt>
                <c:pt idx="32">
                  <c:v>Sociologie en antropologie</c:v>
                </c:pt>
              </c:strCache>
            </c:strRef>
          </c:cat>
          <c:val>
            <c:numRef>
              <c:f>'P NOWT frac voor plaatje bijlag'!$E$212:$E$244</c:f>
              <c:numCache>
                <c:formatCode>0</c:formatCode>
                <c:ptCount val="33"/>
                <c:pt idx="0">
                  <c:v>129.97423213247748</c:v>
                </c:pt>
                <c:pt idx="1">
                  <c:v>75.500742271769525</c:v>
                </c:pt>
                <c:pt idx="2">
                  <c:v>61.366355385991156</c:v>
                </c:pt>
                <c:pt idx="3">
                  <c:v>234.75131173677539</c:v>
                </c:pt>
                <c:pt idx="4">
                  <c:v>108.44368420511361</c:v>
                </c:pt>
                <c:pt idx="5">
                  <c:v>99.094190560512232</c:v>
                </c:pt>
                <c:pt idx="6">
                  <c:v>79.611629999001138</c:v>
                </c:pt>
                <c:pt idx="8">
                  <c:v>154.47764616710447</c:v>
                </c:pt>
                <c:pt idx="9">
                  <c:v>281.53111211611133</c:v>
                </c:pt>
                <c:pt idx="10">
                  <c:v>165.25505586689405</c:v>
                </c:pt>
                <c:pt idx="11">
                  <c:v>140.70845597714748</c:v>
                </c:pt>
                <c:pt idx="12">
                  <c:v>231.25294818054408</c:v>
                </c:pt>
                <c:pt idx="13">
                  <c:v>120.2331257178197</c:v>
                </c:pt>
                <c:pt idx="14">
                  <c:v>110.40776577779768</c:v>
                </c:pt>
                <c:pt idx="16">
                  <c:v>105.6972092710652</c:v>
                </c:pt>
                <c:pt idx="18">
                  <c:v>84.163737770209821</c:v>
                </c:pt>
                <c:pt idx="19">
                  <c:v>64.753168108048115</c:v>
                </c:pt>
                <c:pt idx="20">
                  <c:v>37.261045354050061</c:v>
                </c:pt>
                <c:pt idx="21">
                  <c:v>202.53855260549344</c:v>
                </c:pt>
                <c:pt idx="22">
                  <c:v>196.52564131842624</c:v>
                </c:pt>
                <c:pt idx="23">
                  <c:v>89.933628658637346</c:v>
                </c:pt>
                <c:pt idx="25">
                  <c:v>184.52223423731112</c:v>
                </c:pt>
                <c:pt idx="26">
                  <c:v>183.50460071193515</c:v>
                </c:pt>
                <c:pt idx="27">
                  <c:v>211.68278386695539</c:v>
                </c:pt>
                <c:pt idx="28">
                  <c:v>179.05305264975516</c:v>
                </c:pt>
                <c:pt idx="29">
                  <c:v>140.48233460614279</c:v>
                </c:pt>
                <c:pt idx="30">
                  <c:v>133.42966747921855</c:v>
                </c:pt>
                <c:pt idx="31">
                  <c:v>192.4117710088745</c:v>
                </c:pt>
                <c:pt idx="32">
                  <c:v>171.67834921634974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08-4773-A145-6B9F0F96B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9903744"/>
        <c:axId val="499904992"/>
      </c:lineChart>
      <c:catAx>
        <c:axId val="49990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99904992"/>
        <c:crosses val="autoZero"/>
        <c:auto val="1"/>
        <c:lblAlgn val="ctr"/>
        <c:lblOffset val="100"/>
        <c:noMultiLvlLbl val="0"/>
      </c:catAx>
      <c:valAx>
        <c:axId val="49990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9990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3715-E2E5-4D45-AC36-64401726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KNAW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van den Broek-Honingh</dc:creator>
  <cp:keywords/>
  <dc:description/>
  <cp:lastModifiedBy>Margot Schel</cp:lastModifiedBy>
  <cp:revision>3</cp:revision>
  <cp:lastPrinted>2018-12-07T09:28:00Z</cp:lastPrinted>
  <dcterms:created xsi:type="dcterms:W3CDTF">2020-08-24T18:19:00Z</dcterms:created>
  <dcterms:modified xsi:type="dcterms:W3CDTF">2020-08-24T19:20:00Z</dcterms:modified>
</cp:coreProperties>
</file>